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er2.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word/styles.xml" ContentType="application/vnd.openxmlformats-officedocument.wordprocessingml.styl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87E0AA" w14:textId="77777777" w:rsidR="006C4D47" w:rsidRDefault="006C4D47" w:rsidP="00EC2631">
      <w:pPr>
        <w:spacing w:line="240" w:lineRule="auto"/>
      </w:pPr>
    </w:p>
    <w:p w14:paraId="2346DF9A" w14:textId="77777777" w:rsidR="007A4515" w:rsidRDefault="007A4515" w:rsidP="007D3B6E">
      <w:pPr>
        <w:pStyle w:val="ThesisTitle"/>
      </w:pPr>
    </w:p>
    <w:p w14:paraId="70FCE23F" w14:textId="77777777" w:rsidR="007A4515" w:rsidRDefault="007D3B6E" w:rsidP="00713EE2">
      <w:pPr>
        <w:pStyle w:val="ThesisTitle"/>
      </w:pPr>
      <w:r>
        <w:rPr>
          <w:noProof/>
          <w:lang w:val="en-US" w:eastAsia="en-US"/>
        </w:rPr>
        <w:drawing>
          <wp:inline distT="0" distB="0" distL="0" distR="0" wp14:anchorId="56F8D81E" wp14:editId="2387D576">
            <wp:extent cx="1727200" cy="2174240"/>
            <wp:effectExtent l="0" t="0" r="0" b="10160"/>
            <wp:docPr id="1" name="Picture 1" descr="Macintosh HD:Users:zanecunska:Documents:! SSE Riga:Different:black_SSERiga_logo.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zanecunska:Documents:! SSE Riga:Different:black_SSERiga_logo.ep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27200" cy="2174240"/>
                    </a:xfrm>
                    <a:prstGeom prst="rect">
                      <a:avLst/>
                    </a:prstGeom>
                    <a:noFill/>
                    <a:ln>
                      <a:noFill/>
                    </a:ln>
                  </pic:spPr>
                </pic:pic>
              </a:graphicData>
            </a:graphic>
          </wp:inline>
        </w:drawing>
      </w:r>
    </w:p>
    <w:p w14:paraId="308079C8" w14:textId="77777777" w:rsidR="007D3B6E" w:rsidRDefault="007D3B6E" w:rsidP="007D3B6E"/>
    <w:p w14:paraId="4BCCC0E7" w14:textId="77777777" w:rsidR="007D3B6E" w:rsidRDefault="007D3B6E" w:rsidP="007D3B6E"/>
    <w:p w14:paraId="09113031" w14:textId="77777777" w:rsidR="007D3B6E" w:rsidRPr="007D3B6E" w:rsidRDefault="007D3B6E" w:rsidP="007D3B6E">
      <w:pPr>
        <w:jc w:val="center"/>
        <w:rPr>
          <w:sz w:val="32"/>
          <w:szCs w:val="32"/>
        </w:rPr>
      </w:pPr>
      <w:r w:rsidRPr="007D3B6E">
        <w:rPr>
          <w:sz w:val="32"/>
          <w:szCs w:val="32"/>
        </w:rPr>
        <w:t>Bachelor Thesis</w:t>
      </w:r>
    </w:p>
    <w:p w14:paraId="73728C35" w14:textId="7CAA4C6C" w:rsidR="00661045" w:rsidRPr="002E2DD9" w:rsidRDefault="002E2DD9" w:rsidP="002E2DD9">
      <w:pPr>
        <w:spacing w:after="120" w:line="360" w:lineRule="auto"/>
        <w:jc w:val="center"/>
        <w:rPr>
          <w:b/>
          <w:sz w:val="36"/>
        </w:rPr>
      </w:pPr>
      <w:r w:rsidRPr="0059137C">
        <w:rPr>
          <w:b/>
          <w:sz w:val="36"/>
        </w:rPr>
        <w:t xml:space="preserve">Monetary Policy in the EMU and Volatility </w:t>
      </w:r>
      <w:proofErr w:type="spellStart"/>
      <w:r w:rsidRPr="0059137C">
        <w:rPr>
          <w:b/>
          <w:sz w:val="36"/>
        </w:rPr>
        <w:t>Spillovers</w:t>
      </w:r>
      <w:proofErr w:type="spellEnd"/>
      <w:r w:rsidRPr="0059137C">
        <w:rPr>
          <w:b/>
          <w:sz w:val="36"/>
        </w:rPr>
        <w:t xml:space="preserve"> to the four non-EMU countries</w:t>
      </w:r>
    </w:p>
    <w:p w14:paraId="36DD3DE9" w14:textId="77777777" w:rsidR="007D3B6E" w:rsidRDefault="007D3B6E" w:rsidP="009914A5">
      <w:pPr>
        <w:pStyle w:val="Authornames"/>
      </w:pPr>
    </w:p>
    <w:p w14:paraId="609CE9CF" w14:textId="77777777" w:rsidR="007D3B6E" w:rsidRPr="002E2DD9" w:rsidRDefault="00C14585" w:rsidP="009914A5">
      <w:pPr>
        <w:pStyle w:val="Authornames"/>
        <w:rPr>
          <w:sz w:val="24"/>
        </w:rPr>
      </w:pPr>
      <w:r w:rsidRPr="002E2DD9">
        <w:rPr>
          <w:sz w:val="24"/>
        </w:rPr>
        <w:t>Author</w:t>
      </w:r>
      <w:r w:rsidR="00FE038B" w:rsidRPr="002E2DD9">
        <w:rPr>
          <w:sz w:val="24"/>
        </w:rPr>
        <w:t>(</w:t>
      </w:r>
      <w:r w:rsidR="007D3B6E" w:rsidRPr="002E2DD9">
        <w:rPr>
          <w:sz w:val="24"/>
        </w:rPr>
        <w:t>s</w:t>
      </w:r>
      <w:r w:rsidR="00FE038B" w:rsidRPr="002E2DD9">
        <w:rPr>
          <w:sz w:val="24"/>
        </w:rPr>
        <w:t>)</w:t>
      </w:r>
      <w:r w:rsidR="007D3B6E" w:rsidRPr="002E2DD9">
        <w:rPr>
          <w:sz w:val="24"/>
        </w:rPr>
        <w:t>:</w:t>
      </w:r>
    </w:p>
    <w:p w14:paraId="7EC2A60D" w14:textId="53F0CE2D" w:rsidR="00442B9C" w:rsidRPr="002E2DD9" w:rsidRDefault="002E2DD9" w:rsidP="009914A5">
      <w:pPr>
        <w:pStyle w:val="Authornames"/>
        <w:rPr>
          <w:sz w:val="24"/>
        </w:rPr>
      </w:pPr>
      <w:r w:rsidRPr="002E2DD9">
        <w:rPr>
          <w:sz w:val="24"/>
        </w:rPr>
        <w:t xml:space="preserve">Chaiko Ilona </w:t>
      </w:r>
    </w:p>
    <w:p w14:paraId="582267AB" w14:textId="00B69254" w:rsidR="002E2DD9" w:rsidRPr="002E2DD9" w:rsidRDefault="002E2DD9" w:rsidP="002E2DD9">
      <w:pPr>
        <w:pStyle w:val="Authornames"/>
        <w:rPr>
          <w:sz w:val="24"/>
        </w:rPr>
      </w:pPr>
      <w:r w:rsidRPr="002E2DD9">
        <w:rPr>
          <w:sz w:val="24"/>
        </w:rPr>
        <w:t>Popescu Catalina</w:t>
      </w:r>
    </w:p>
    <w:p w14:paraId="0C694A98" w14:textId="77777777" w:rsidR="007D3B6E" w:rsidRDefault="007D3B6E" w:rsidP="007D3B6E"/>
    <w:p w14:paraId="3E5F6516" w14:textId="189BBBE2" w:rsidR="007D3B6E" w:rsidRPr="002E2DD9" w:rsidRDefault="007D3B6E" w:rsidP="007D3B6E">
      <w:pPr>
        <w:pStyle w:val="Supervisorname"/>
        <w:rPr>
          <w:sz w:val="24"/>
        </w:rPr>
      </w:pPr>
      <w:r w:rsidRPr="002E2DD9">
        <w:rPr>
          <w:sz w:val="24"/>
        </w:rPr>
        <w:t>Supervisor:</w:t>
      </w:r>
    </w:p>
    <w:p w14:paraId="17C01264" w14:textId="0042D0E6" w:rsidR="007D3B6E" w:rsidRPr="002E2DD9" w:rsidRDefault="002E2DD9" w:rsidP="002E2DD9">
      <w:pPr>
        <w:spacing w:before="240" w:line="360" w:lineRule="auto"/>
        <w:rPr>
          <w:rFonts w:ascii="TimesNewRomanPSMT" w:hAnsi="TimesNewRomanPSMT"/>
          <w:color w:val="000000"/>
          <w:shd w:val="clear" w:color="auto" w:fill="FFFFFF"/>
        </w:rPr>
      </w:pPr>
      <w:proofErr w:type="spellStart"/>
      <w:r w:rsidRPr="002E2DD9">
        <w:rPr>
          <w:rFonts w:ascii="TimesNewRomanPSMT" w:hAnsi="TimesNewRomanPSMT"/>
          <w:color w:val="000000"/>
          <w:shd w:val="clear" w:color="auto" w:fill="FFFFFF"/>
        </w:rPr>
        <w:t>Kārlis</w:t>
      </w:r>
      <w:proofErr w:type="spellEnd"/>
      <w:r w:rsidRPr="002E2DD9">
        <w:rPr>
          <w:rFonts w:ascii="TimesNewRomanPSMT" w:hAnsi="TimesNewRomanPSMT"/>
          <w:color w:val="000000"/>
          <w:shd w:val="clear" w:color="auto" w:fill="FFFFFF"/>
        </w:rPr>
        <w:t xml:space="preserve"> </w:t>
      </w:r>
      <w:proofErr w:type="spellStart"/>
      <w:r w:rsidRPr="002E2DD9">
        <w:rPr>
          <w:rFonts w:ascii="TimesNewRomanPSMT" w:hAnsi="TimesNewRomanPSMT"/>
          <w:color w:val="000000"/>
          <w:shd w:val="clear" w:color="auto" w:fill="FFFFFF"/>
        </w:rPr>
        <w:t>Vilerts</w:t>
      </w:r>
      <w:proofErr w:type="spellEnd"/>
    </w:p>
    <w:p w14:paraId="3E8E31DD" w14:textId="63F7EF79" w:rsidR="007D3B6E" w:rsidRPr="007D3B6E" w:rsidRDefault="004B388C" w:rsidP="007D3B6E">
      <w:pPr>
        <w:pStyle w:val="Abstract"/>
      </w:pPr>
      <w:r>
        <w:t xml:space="preserve">JEL codes: </w:t>
      </w:r>
      <w:r w:rsidR="002E2DD9">
        <w:t>A11, E00, E02</w:t>
      </w:r>
    </w:p>
    <w:p w14:paraId="701BB337" w14:textId="7F9F88F5" w:rsidR="007D3B6E" w:rsidRDefault="002E2DD9" w:rsidP="007D3B6E">
      <w:pPr>
        <w:pStyle w:val="Year"/>
      </w:pPr>
      <w:proofErr w:type="gramStart"/>
      <w:r>
        <w:t>April,</w:t>
      </w:r>
      <w:proofErr w:type="gramEnd"/>
      <w:r>
        <w:t xml:space="preserve"> 2022</w:t>
      </w:r>
    </w:p>
    <w:p w14:paraId="1B4E1735" w14:textId="27381205" w:rsidR="00FE038B" w:rsidRPr="00B444F1" w:rsidRDefault="007D3B6E" w:rsidP="00B444F1">
      <w:pPr>
        <w:pStyle w:val="Year"/>
      </w:pPr>
      <w:r>
        <w:t>Riga</w:t>
      </w:r>
      <w:r w:rsidR="00C14585">
        <w:br w:type="page"/>
      </w:r>
    </w:p>
    <w:p w14:paraId="2281F9FC" w14:textId="77777777" w:rsidR="004B388C" w:rsidRPr="007D3B6E" w:rsidRDefault="004B388C" w:rsidP="004B388C">
      <w:pPr>
        <w:pStyle w:val="Abstract"/>
        <w:rPr>
          <w:b/>
          <w:bCs/>
        </w:rPr>
      </w:pPr>
      <w:bookmarkStart w:id="0" w:name="_Toc279230231"/>
      <w:bookmarkStart w:id="1" w:name="_Toc270071486"/>
      <w:bookmarkStart w:id="2" w:name="_Toc268437358"/>
      <w:bookmarkStart w:id="3" w:name="_Toc268437073"/>
      <w:r w:rsidRPr="007D3B6E">
        <w:rPr>
          <w:b/>
          <w:bCs/>
        </w:rPr>
        <w:lastRenderedPageBreak/>
        <w:t>COPYRIGHT DECLARATION</w:t>
      </w:r>
      <w:r>
        <w:rPr>
          <w:b/>
          <w:bCs/>
        </w:rPr>
        <w:t xml:space="preserve"> AND LICENCE</w:t>
      </w:r>
    </w:p>
    <w:p w14:paraId="6F6002A6" w14:textId="77777777" w:rsidR="004B388C" w:rsidRPr="007D3B6E" w:rsidRDefault="004B388C" w:rsidP="004B388C">
      <w:pPr>
        <w:pStyle w:val="Abstract"/>
      </w:pPr>
    </w:p>
    <w:p w14:paraId="51528CCB" w14:textId="78689F4E" w:rsidR="004B388C" w:rsidRPr="007D3B6E" w:rsidRDefault="004B388C" w:rsidP="004B388C">
      <w:pPr>
        <w:pStyle w:val="Abstract"/>
      </w:pPr>
      <w:r w:rsidRPr="007D3B6E">
        <w:t>Name</w:t>
      </w:r>
      <w:r>
        <w:t>s</w:t>
      </w:r>
      <w:r w:rsidRPr="007D3B6E">
        <w:t xml:space="preserve"> of the authors in full</w:t>
      </w:r>
      <w:r>
        <w:t>:</w:t>
      </w:r>
      <w:r w:rsidRPr="007D3B6E">
        <w:t xml:space="preserve"> </w:t>
      </w:r>
      <w:r w:rsidR="002E2DD9">
        <w:t>Chaiko Ilona, Popescu Catalina</w:t>
      </w:r>
    </w:p>
    <w:p w14:paraId="66F03690" w14:textId="77777777" w:rsidR="004B388C" w:rsidRPr="007D3B6E" w:rsidRDefault="004B388C" w:rsidP="004B388C">
      <w:pPr>
        <w:pStyle w:val="Abstract"/>
      </w:pPr>
    </w:p>
    <w:p w14:paraId="286A24F4" w14:textId="442D48C7" w:rsidR="004B388C" w:rsidRDefault="004B388C" w:rsidP="004B388C">
      <w:pPr>
        <w:pStyle w:val="Abstract"/>
      </w:pPr>
      <w:r w:rsidRPr="007D3B6E">
        <w:t>Title of the Thesis</w:t>
      </w:r>
      <w:r>
        <w:t xml:space="preserve">: </w:t>
      </w:r>
      <w:r w:rsidR="00FD6AB2" w:rsidRPr="00FD6AB2">
        <w:t xml:space="preserve">Monetary Policy in the EMU and Volatility </w:t>
      </w:r>
      <w:proofErr w:type="spellStart"/>
      <w:r w:rsidR="00FD6AB2" w:rsidRPr="00FD6AB2">
        <w:t>Spillovers</w:t>
      </w:r>
      <w:proofErr w:type="spellEnd"/>
      <w:r w:rsidR="00FD6AB2" w:rsidRPr="00FD6AB2">
        <w:t xml:space="preserve"> to the four non-EMU countries</w:t>
      </w:r>
    </w:p>
    <w:p w14:paraId="0B187B09" w14:textId="77777777" w:rsidR="004B388C" w:rsidRPr="007D3B6E" w:rsidRDefault="004B388C" w:rsidP="004B388C">
      <w:pPr>
        <w:pStyle w:val="Abstract"/>
      </w:pPr>
    </w:p>
    <w:p w14:paraId="4534CC4E" w14:textId="457139CB" w:rsidR="004B388C" w:rsidRPr="007D3B6E" w:rsidRDefault="004B388C" w:rsidP="004B388C">
      <w:pPr>
        <w:pStyle w:val="Abstract"/>
      </w:pPr>
      <w:r>
        <w:t>We</w:t>
      </w:r>
      <w:r w:rsidR="00FD6AB2">
        <w:t xml:space="preserve"> </w:t>
      </w:r>
      <w:r>
        <w:t xml:space="preserve">hereby certify that the above-named thesis is entirely the work of the persons named below, and that all materials, sources and data used in the thesis have been duly referenced. This thesis – in its entirety or in any part thereof – has never been submitted to any other degree commission or published. </w:t>
      </w:r>
    </w:p>
    <w:p w14:paraId="158EA37B" w14:textId="77777777" w:rsidR="004B388C" w:rsidRPr="007D3B6E" w:rsidRDefault="004B388C" w:rsidP="004B388C">
      <w:pPr>
        <w:pStyle w:val="Abstract"/>
      </w:pPr>
    </w:p>
    <w:p w14:paraId="1C2262AE" w14:textId="53E5C113" w:rsidR="004B388C" w:rsidRDefault="004B388C" w:rsidP="004B388C">
      <w:pPr>
        <w:pStyle w:val="Abstract"/>
      </w:pPr>
      <w:r>
        <w:t>I</w:t>
      </w:r>
      <w:r w:rsidRPr="007D3B6E">
        <w:t xml:space="preserve">n accordance with </w:t>
      </w:r>
      <w:r>
        <w:t>Section 1 of the Copyright</w:t>
      </w:r>
      <w:r w:rsidRPr="007D3B6E">
        <w:t xml:space="preserve"> Law of Latvia</w:t>
      </w:r>
      <w:r>
        <w:t xml:space="preserve">, the persons named below </w:t>
      </w:r>
      <w:r w:rsidRPr="007D3B6E">
        <w:t>ar</w:t>
      </w:r>
      <w:r w:rsidR="00FD6AB2">
        <w:t xml:space="preserve">e </w:t>
      </w:r>
      <w:r w:rsidRPr="007D3B6E">
        <w:t xml:space="preserve">the </w:t>
      </w:r>
      <w:r>
        <w:t>authors</w:t>
      </w:r>
      <w:r w:rsidR="00FD6AB2">
        <w:t xml:space="preserve"> </w:t>
      </w:r>
      <w:r>
        <w:t xml:space="preserve">of </w:t>
      </w:r>
      <w:r w:rsidRPr="007D3B6E">
        <w:t xml:space="preserve">this thesis. </w:t>
      </w:r>
    </w:p>
    <w:p w14:paraId="6E305B24" w14:textId="77777777" w:rsidR="004B388C" w:rsidRDefault="004B388C" w:rsidP="004B388C">
      <w:pPr>
        <w:pStyle w:val="Abstract"/>
      </w:pPr>
    </w:p>
    <w:p w14:paraId="50255B2E" w14:textId="4BDBEAE4" w:rsidR="004B388C" w:rsidRPr="007D3B6E" w:rsidRDefault="004B388C" w:rsidP="004B388C">
      <w:pPr>
        <w:pStyle w:val="Abstract"/>
      </w:pPr>
      <w:r>
        <w:t>Pursuant to Article 40 of the Copyright Law the authors</w:t>
      </w:r>
      <w:r w:rsidR="00FD6AB2">
        <w:t xml:space="preserve"> </w:t>
      </w:r>
      <w:r>
        <w:t>hereby agree</w:t>
      </w:r>
      <w:r w:rsidRPr="007D3B6E">
        <w:t xml:space="preserve"> </w:t>
      </w:r>
      <w:r>
        <w:t>and give an explicit licence to</w:t>
      </w:r>
      <w:r w:rsidRPr="007D3B6E">
        <w:t xml:space="preserve"> SSE Riga </w:t>
      </w:r>
      <w:r>
        <w:t>to</w:t>
      </w:r>
      <w:r w:rsidRPr="007D3B6E">
        <w:t xml:space="preserve"> deposit one</w:t>
      </w:r>
      <w:r>
        <w:t xml:space="preserve"> digital</w:t>
      </w:r>
      <w:r w:rsidRPr="007D3B6E">
        <w:t xml:space="preserve"> copy of </w:t>
      </w:r>
      <w:r>
        <w:t>this</w:t>
      </w:r>
      <w:r w:rsidRPr="007D3B6E">
        <w:t xml:space="preserve"> thesis in the </w:t>
      </w:r>
      <w:r>
        <w:t xml:space="preserve">digital catalogue and data base at </w:t>
      </w:r>
      <w:r w:rsidRPr="007D3B6E">
        <w:t>SSE Riga Library</w:t>
      </w:r>
      <w:r>
        <w:t xml:space="preserve"> for an unlimited time and without royalty. The licence permits SSE Riga to grant access to the duly deposited thesis to all users of the catalogue and data base without royalty and limitations to downloading, </w:t>
      </w:r>
      <w:proofErr w:type="gramStart"/>
      <w:r>
        <w:t>copying</w:t>
      </w:r>
      <w:proofErr w:type="gramEnd"/>
      <w:r>
        <w:t xml:space="preserve"> and printing of the digital thesis in whole or in part provided we are indicated as the authors of the thesis according to Clause 4 Section 1 Article 14 of Copyright Law. </w:t>
      </w:r>
      <w:r w:rsidRPr="007D3B6E">
        <w:t xml:space="preserve">We assert our right to be identified as the authors of this thesis whenever </w:t>
      </w:r>
      <w:r>
        <w:t>it</w:t>
      </w:r>
      <w:r w:rsidRPr="007D3B6E">
        <w:t xml:space="preserve"> is reproduced in full or in part. </w:t>
      </w:r>
    </w:p>
    <w:p w14:paraId="4427CB27" w14:textId="77777777" w:rsidR="004B388C" w:rsidRPr="007D3B6E" w:rsidRDefault="004B388C" w:rsidP="004B388C">
      <w:pPr>
        <w:pStyle w:val="Abstract"/>
      </w:pPr>
    </w:p>
    <w:p w14:paraId="45A97008" w14:textId="77777777" w:rsidR="004B388C" w:rsidRPr="007D3B6E" w:rsidRDefault="004B388C" w:rsidP="004B388C">
      <w:pPr>
        <w:pStyle w:val="Abstract"/>
      </w:pPr>
    </w:p>
    <w:p w14:paraId="103BCD15" w14:textId="77777777" w:rsidR="004B388C" w:rsidRPr="007D3B6E" w:rsidRDefault="004B388C" w:rsidP="004B388C">
      <w:pPr>
        <w:pStyle w:val="Abstract"/>
      </w:pPr>
      <w:r w:rsidRPr="007D3B6E">
        <w:t>Signed</w:t>
      </w:r>
    </w:p>
    <w:p w14:paraId="613760DD" w14:textId="77777777" w:rsidR="004B388C" w:rsidRPr="007D3B6E" w:rsidRDefault="004B388C" w:rsidP="004B388C">
      <w:pPr>
        <w:pStyle w:val="Abstract"/>
      </w:pPr>
    </w:p>
    <w:p w14:paraId="248BEE01" w14:textId="77777777" w:rsidR="004B388C" w:rsidRPr="007D3B6E" w:rsidRDefault="004B388C" w:rsidP="004B388C">
      <w:pPr>
        <w:pStyle w:val="Abstract"/>
      </w:pPr>
    </w:p>
    <w:p w14:paraId="27366F89" w14:textId="77777777" w:rsidR="004B388C" w:rsidRPr="007D3B6E" w:rsidRDefault="004B388C" w:rsidP="004B388C">
      <w:pPr>
        <w:pStyle w:val="Abstract"/>
      </w:pPr>
    </w:p>
    <w:p w14:paraId="6E61A612" w14:textId="77777777" w:rsidR="004B388C" w:rsidRPr="007D3B6E" w:rsidRDefault="004B388C" w:rsidP="004B388C">
      <w:pPr>
        <w:pStyle w:val="Abstract"/>
      </w:pPr>
      <w:r>
        <w:t>____________________</w:t>
      </w:r>
      <w:r>
        <w:tab/>
      </w:r>
      <w:r>
        <w:tab/>
      </w:r>
      <w:r>
        <w:tab/>
      </w:r>
      <w:r w:rsidRPr="007D3B6E">
        <w:t>____________________</w:t>
      </w:r>
    </w:p>
    <w:p w14:paraId="332CEF6F" w14:textId="64F4C0A6" w:rsidR="004B388C" w:rsidRPr="007D3B6E" w:rsidRDefault="00FD6AB2" w:rsidP="004B388C">
      <w:r>
        <w:t>Ilona Chaiko</w:t>
      </w:r>
      <w:r w:rsidR="004B388C">
        <w:tab/>
      </w:r>
      <w:r w:rsidR="004B388C">
        <w:tab/>
      </w:r>
      <w:r w:rsidR="004B388C">
        <w:tab/>
      </w:r>
      <w:r w:rsidR="004B388C">
        <w:tab/>
      </w:r>
      <w:r w:rsidR="004B388C">
        <w:tab/>
      </w:r>
      <w:r>
        <w:t>Catalina Popescu</w:t>
      </w:r>
      <w:r w:rsidR="004B388C">
        <w:tab/>
      </w:r>
    </w:p>
    <w:p w14:paraId="5DEA4891" w14:textId="77777777" w:rsidR="004B388C" w:rsidRPr="007D3B6E" w:rsidRDefault="004B388C" w:rsidP="004B388C">
      <w:pPr>
        <w:pStyle w:val="Abstract"/>
      </w:pPr>
      <w:r w:rsidRPr="007D3B6E">
        <w:t xml:space="preserve">Date </w:t>
      </w:r>
    </w:p>
    <w:p w14:paraId="7FEEDB4F" w14:textId="77777777" w:rsidR="004B388C" w:rsidRPr="007D3B6E" w:rsidRDefault="004B388C" w:rsidP="004B388C">
      <w:pPr>
        <w:pStyle w:val="Abstract"/>
      </w:pPr>
    </w:p>
    <w:p w14:paraId="0935858F" w14:textId="22311411" w:rsidR="00194B11" w:rsidRDefault="00194B11" w:rsidP="00194B11">
      <w:pPr>
        <w:pStyle w:val="Abstract"/>
      </w:pPr>
      <w:r w:rsidRPr="007D3B6E">
        <w:t>………………………</w:t>
      </w:r>
    </w:p>
    <w:bookmarkEnd w:id="3" w:displacedByCustomXml="next"/>
    <w:bookmarkEnd w:id="2" w:displacedByCustomXml="next"/>
    <w:bookmarkEnd w:id="1" w:displacedByCustomXml="next"/>
    <w:bookmarkEnd w:id="0" w:displacedByCustomXml="next"/>
    <w:sdt>
      <w:sdtPr>
        <w:rPr>
          <w:rFonts w:ascii="Times New Roman" w:eastAsia="Times New Roman" w:hAnsi="Times New Roman" w:cs="Times New Roman"/>
          <w:color w:val="auto"/>
          <w:sz w:val="24"/>
          <w:szCs w:val="24"/>
          <w:lang w:val="en-GB" w:eastAsia="en-GB"/>
        </w:rPr>
        <w:id w:val="1310214183"/>
        <w:docPartObj>
          <w:docPartGallery w:val="Table of Contents"/>
          <w:docPartUnique/>
        </w:docPartObj>
      </w:sdtPr>
      <w:sdtEndPr>
        <w:rPr>
          <w:b/>
          <w:bCs/>
          <w:noProof/>
        </w:rPr>
      </w:sdtEndPr>
      <w:sdtContent>
        <w:p w14:paraId="5E55B5D7" w14:textId="4047AA8E" w:rsidR="00B444F1" w:rsidRDefault="00B444F1" w:rsidP="00B444F1">
          <w:pPr>
            <w:pStyle w:val="TOCHeading"/>
            <w:jc w:val="center"/>
            <w:rPr>
              <w:rFonts w:ascii="Times New Roman" w:hAnsi="Times New Roman" w:cs="Times New Roman"/>
              <w:b/>
              <w:bCs/>
              <w:color w:val="auto"/>
              <w:sz w:val="28"/>
              <w:szCs w:val="28"/>
            </w:rPr>
          </w:pPr>
          <w:r w:rsidRPr="00B444F1">
            <w:rPr>
              <w:rFonts w:ascii="Times New Roman" w:hAnsi="Times New Roman" w:cs="Times New Roman"/>
              <w:b/>
              <w:bCs/>
              <w:color w:val="auto"/>
              <w:sz w:val="28"/>
              <w:szCs w:val="28"/>
            </w:rPr>
            <w:t>Table of contents</w:t>
          </w:r>
        </w:p>
        <w:p w14:paraId="1866D245" w14:textId="77777777" w:rsidR="00B444F1" w:rsidRPr="00B444F1" w:rsidRDefault="00B444F1" w:rsidP="00B444F1">
          <w:pPr>
            <w:rPr>
              <w:lang w:val="en-US" w:eastAsia="en-US"/>
            </w:rPr>
          </w:pPr>
        </w:p>
        <w:p w14:paraId="757A698B" w14:textId="475A03EB" w:rsidR="00B444F1" w:rsidRPr="003D13AF" w:rsidRDefault="00B444F1" w:rsidP="00B444F1">
          <w:pPr>
            <w:pStyle w:val="TOC1"/>
            <w:tabs>
              <w:tab w:val="right" w:leader="dot" w:pos="8489"/>
            </w:tabs>
            <w:spacing w:before="0" w:line="360" w:lineRule="auto"/>
            <w:rPr>
              <w:rFonts w:ascii="Times New Roman" w:eastAsiaTheme="minorEastAsia" w:hAnsi="Times New Roman"/>
              <w:b w:val="0"/>
              <w:noProof/>
              <w:lang w:val="en-US" w:eastAsia="en-US"/>
            </w:rPr>
          </w:pPr>
          <w:r>
            <w:fldChar w:fldCharType="begin"/>
          </w:r>
          <w:r>
            <w:instrText xml:space="preserve"> TOC \o "1-3" \h \z \u </w:instrText>
          </w:r>
          <w:r>
            <w:fldChar w:fldCharType="separate"/>
          </w:r>
          <w:hyperlink w:anchor="_Toc99919328" w:history="1">
            <w:r w:rsidRPr="003D13AF">
              <w:rPr>
                <w:rStyle w:val="Hyperlink"/>
                <w:rFonts w:ascii="Times New Roman" w:hAnsi="Times New Roman"/>
                <w:i/>
                <w:iCs/>
                <w:noProof/>
              </w:rPr>
              <w:t>Abstract</w:t>
            </w:r>
            <w:r w:rsidRPr="003D13AF">
              <w:rPr>
                <w:rFonts w:ascii="Times New Roman" w:hAnsi="Times New Roman"/>
                <w:noProof/>
                <w:webHidden/>
              </w:rPr>
              <w:tab/>
            </w:r>
            <w:r w:rsidRPr="003D13AF">
              <w:rPr>
                <w:rFonts w:ascii="Times New Roman" w:hAnsi="Times New Roman"/>
                <w:noProof/>
                <w:webHidden/>
              </w:rPr>
              <w:fldChar w:fldCharType="begin"/>
            </w:r>
            <w:r w:rsidRPr="003D13AF">
              <w:rPr>
                <w:rFonts w:ascii="Times New Roman" w:hAnsi="Times New Roman"/>
                <w:noProof/>
                <w:webHidden/>
              </w:rPr>
              <w:instrText xml:space="preserve"> PAGEREF _Toc99919328 \h </w:instrText>
            </w:r>
            <w:r w:rsidRPr="003D13AF">
              <w:rPr>
                <w:rFonts w:ascii="Times New Roman" w:hAnsi="Times New Roman"/>
                <w:noProof/>
                <w:webHidden/>
              </w:rPr>
            </w:r>
            <w:r w:rsidRPr="003D13AF">
              <w:rPr>
                <w:rFonts w:ascii="Times New Roman" w:hAnsi="Times New Roman"/>
                <w:noProof/>
                <w:webHidden/>
              </w:rPr>
              <w:fldChar w:fldCharType="separate"/>
            </w:r>
            <w:r w:rsidRPr="003D13AF">
              <w:rPr>
                <w:rFonts w:ascii="Times New Roman" w:hAnsi="Times New Roman"/>
                <w:noProof/>
                <w:webHidden/>
              </w:rPr>
              <w:t>4</w:t>
            </w:r>
            <w:r w:rsidRPr="003D13AF">
              <w:rPr>
                <w:rFonts w:ascii="Times New Roman" w:hAnsi="Times New Roman"/>
                <w:noProof/>
                <w:webHidden/>
              </w:rPr>
              <w:fldChar w:fldCharType="end"/>
            </w:r>
          </w:hyperlink>
        </w:p>
        <w:p w14:paraId="742FFE7E" w14:textId="667DD44F" w:rsidR="00B444F1" w:rsidRPr="003D13AF" w:rsidRDefault="00A86B02" w:rsidP="00B444F1">
          <w:pPr>
            <w:pStyle w:val="TOC1"/>
            <w:tabs>
              <w:tab w:val="left" w:pos="480"/>
              <w:tab w:val="right" w:leader="dot" w:pos="8489"/>
            </w:tabs>
            <w:spacing w:before="0" w:line="360" w:lineRule="auto"/>
            <w:rPr>
              <w:rFonts w:ascii="Times New Roman" w:eastAsiaTheme="minorEastAsia" w:hAnsi="Times New Roman"/>
              <w:b w:val="0"/>
              <w:noProof/>
              <w:lang w:val="en-US" w:eastAsia="en-US"/>
            </w:rPr>
          </w:pPr>
          <w:hyperlink w:anchor="_Toc99919329" w:history="1">
            <w:r w:rsidR="00B444F1" w:rsidRPr="003D13AF">
              <w:rPr>
                <w:rStyle w:val="Hyperlink"/>
                <w:rFonts w:ascii="Times New Roman" w:hAnsi="Times New Roman"/>
                <w:i/>
                <w:noProof/>
              </w:rPr>
              <w:t>1.</w:t>
            </w:r>
            <w:r w:rsidR="00B444F1" w:rsidRPr="003D13AF">
              <w:rPr>
                <w:rFonts w:ascii="Times New Roman" w:eastAsiaTheme="minorEastAsia" w:hAnsi="Times New Roman"/>
                <w:b w:val="0"/>
                <w:noProof/>
                <w:lang w:val="en-US" w:eastAsia="en-US"/>
              </w:rPr>
              <w:tab/>
            </w:r>
            <w:r w:rsidR="00B444F1" w:rsidRPr="003D13AF">
              <w:rPr>
                <w:rStyle w:val="Hyperlink"/>
                <w:rFonts w:ascii="Times New Roman" w:hAnsi="Times New Roman"/>
                <w:i/>
                <w:iCs/>
                <w:noProof/>
              </w:rPr>
              <w:t>Introduction</w:t>
            </w:r>
            <w:r w:rsidR="00B444F1" w:rsidRPr="003D13AF">
              <w:rPr>
                <w:rFonts w:ascii="Times New Roman" w:hAnsi="Times New Roman"/>
                <w:noProof/>
                <w:webHidden/>
              </w:rPr>
              <w:tab/>
            </w:r>
            <w:r w:rsidR="00B444F1" w:rsidRPr="003D13AF">
              <w:rPr>
                <w:rFonts w:ascii="Times New Roman" w:hAnsi="Times New Roman"/>
                <w:noProof/>
                <w:webHidden/>
              </w:rPr>
              <w:fldChar w:fldCharType="begin"/>
            </w:r>
            <w:r w:rsidR="00B444F1" w:rsidRPr="003D13AF">
              <w:rPr>
                <w:rFonts w:ascii="Times New Roman" w:hAnsi="Times New Roman"/>
                <w:noProof/>
                <w:webHidden/>
              </w:rPr>
              <w:instrText xml:space="preserve"> PAGEREF _Toc99919329 \h </w:instrText>
            </w:r>
            <w:r w:rsidR="00B444F1" w:rsidRPr="003D13AF">
              <w:rPr>
                <w:rFonts w:ascii="Times New Roman" w:hAnsi="Times New Roman"/>
                <w:noProof/>
                <w:webHidden/>
              </w:rPr>
            </w:r>
            <w:r w:rsidR="00B444F1" w:rsidRPr="003D13AF">
              <w:rPr>
                <w:rFonts w:ascii="Times New Roman" w:hAnsi="Times New Roman"/>
                <w:noProof/>
                <w:webHidden/>
              </w:rPr>
              <w:fldChar w:fldCharType="separate"/>
            </w:r>
            <w:r w:rsidR="00B444F1" w:rsidRPr="003D13AF">
              <w:rPr>
                <w:rFonts w:ascii="Times New Roman" w:hAnsi="Times New Roman"/>
                <w:noProof/>
                <w:webHidden/>
              </w:rPr>
              <w:t>5</w:t>
            </w:r>
            <w:r w:rsidR="00B444F1" w:rsidRPr="003D13AF">
              <w:rPr>
                <w:rFonts w:ascii="Times New Roman" w:hAnsi="Times New Roman"/>
                <w:noProof/>
                <w:webHidden/>
              </w:rPr>
              <w:fldChar w:fldCharType="end"/>
            </w:r>
          </w:hyperlink>
        </w:p>
        <w:p w14:paraId="7043117F" w14:textId="53D6BD35" w:rsidR="00B444F1" w:rsidRPr="003D13AF" w:rsidRDefault="00A86B02" w:rsidP="00B444F1">
          <w:pPr>
            <w:pStyle w:val="TOC1"/>
            <w:tabs>
              <w:tab w:val="right" w:leader="dot" w:pos="8489"/>
            </w:tabs>
            <w:spacing w:before="0" w:line="360" w:lineRule="auto"/>
            <w:rPr>
              <w:rFonts w:ascii="Times New Roman" w:eastAsiaTheme="minorEastAsia" w:hAnsi="Times New Roman"/>
              <w:b w:val="0"/>
              <w:noProof/>
              <w:lang w:val="en-US" w:eastAsia="en-US"/>
            </w:rPr>
          </w:pPr>
          <w:hyperlink w:anchor="_Toc99919330" w:history="1">
            <w:r w:rsidR="00B444F1" w:rsidRPr="003D13AF">
              <w:rPr>
                <w:rStyle w:val="Hyperlink"/>
                <w:rFonts w:ascii="Times New Roman" w:hAnsi="Times New Roman"/>
                <w:i/>
                <w:iCs/>
                <w:noProof/>
                <w:lang w:val="en-US"/>
              </w:rPr>
              <w:t xml:space="preserve">2. </w:t>
            </w:r>
            <w:r w:rsidR="00B444F1" w:rsidRPr="003D13AF">
              <w:rPr>
                <w:rStyle w:val="Hyperlink"/>
                <w:rFonts w:ascii="Times New Roman" w:hAnsi="Times New Roman"/>
                <w:i/>
                <w:iCs/>
                <w:noProof/>
              </w:rPr>
              <w:t>Literature review</w:t>
            </w:r>
            <w:r w:rsidR="00B444F1" w:rsidRPr="003D13AF">
              <w:rPr>
                <w:rFonts w:ascii="Times New Roman" w:hAnsi="Times New Roman"/>
                <w:noProof/>
                <w:webHidden/>
              </w:rPr>
              <w:tab/>
            </w:r>
            <w:r w:rsidR="00B444F1" w:rsidRPr="003D13AF">
              <w:rPr>
                <w:rFonts w:ascii="Times New Roman" w:hAnsi="Times New Roman"/>
                <w:noProof/>
                <w:webHidden/>
              </w:rPr>
              <w:fldChar w:fldCharType="begin"/>
            </w:r>
            <w:r w:rsidR="00B444F1" w:rsidRPr="003D13AF">
              <w:rPr>
                <w:rFonts w:ascii="Times New Roman" w:hAnsi="Times New Roman"/>
                <w:noProof/>
                <w:webHidden/>
              </w:rPr>
              <w:instrText xml:space="preserve"> PAGEREF _Toc99919330 \h </w:instrText>
            </w:r>
            <w:r w:rsidR="00B444F1" w:rsidRPr="003D13AF">
              <w:rPr>
                <w:rFonts w:ascii="Times New Roman" w:hAnsi="Times New Roman"/>
                <w:noProof/>
                <w:webHidden/>
              </w:rPr>
            </w:r>
            <w:r w:rsidR="00B444F1" w:rsidRPr="003D13AF">
              <w:rPr>
                <w:rFonts w:ascii="Times New Roman" w:hAnsi="Times New Roman"/>
                <w:noProof/>
                <w:webHidden/>
              </w:rPr>
              <w:fldChar w:fldCharType="separate"/>
            </w:r>
            <w:r w:rsidR="00B444F1" w:rsidRPr="003D13AF">
              <w:rPr>
                <w:rFonts w:ascii="Times New Roman" w:hAnsi="Times New Roman"/>
                <w:noProof/>
                <w:webHidden/>
              </w:rPr>
              <w:t>7</w:t>
            </w:r>
            <w:r w:rsidR="00B444F1" w:rsidRPr="003D13AF">
              <w:rPr>
                <w:rFonts w:ascii="Times New Roman" w:hAnsi="Times New Roman"/>
                <w:noProof/>
                <w:webHidden/>
              </w:rPr>
              <w:fldChar w:fldCharType="end"/>
            </w:r>
          </w:hyperlink>
        </w:p>
        <w:p w14:paraId="58031A5D" w14:textId="7DCB3C2C" w:rsidR="00B444F1" w:rsidRPr="003D13AF" w:rsidRDefault="00A86B02" w:rsidP="00B444F1">
          <w:pPr>
            <w:pStyle w:val="TOC2"/>
            <w:tabs>
              <w:tab w:val="right" w:leader="dot" w:pos="8489"/>
            </w:tabs>
            <w:spacing w:line="360" w:lineRule="auto"/>
            <w:rPr>
              <w:rFonts w:ascii="Times New Roman" w:eastAsiaTheme="minorEastAsia" w:hAnsi="Times New Roman"/>
              <w:b w:val="0"/>
              <w:noProof/>
              <w:sz w:val="24"/>
              <w:szCs w:val="24"/>
              <w:lang w:val="en-US" w:eastAsia="en-US"/>
            </w:rPr>
          </w:pPr>
          <w:hyperlink w:anchor="_Toc99919331" w:history="1">
            <w:r w:rsidR="00B444F1" w:rsidRPr="003D13AF">
              <w:rPr>
                <w:rStyle w:val="Hyperlink"/>
                <w:rFonts w:ascii="Times New Roman" w:hAnsi="Times New Roman"/>
                <w:noProof/>
                <w:sz w:val="24"/>
                <w:szCs w:val="24"/>
              </w:rPr>
              <w:t>2.1 Monetary policy spillovers: theoretical considerations</w:t>
            </w:r>
            <w:r w:rsidR="00B444F1" w:rsidRPr="003D13AF">
              <w:rPr>
                <w:rFonts w:ascii="Times New Roman" w:hAnsi="Times New Roman"/>
                <w:noProof/>
                <w:webHidden/>
                <w:sz w:val="24"/>
                <w:szCs w:val="24"/>
              </w:rPr>
              <w:tab/>
            </w:r>
            <w:r w:rsidR="00B444F1" w:rsidRPr="003D13AF">
              <w:rPr>
                <w:rFonts w:ascii="Times New Roman" w:hAnsi="Times New Roman"/>
                <w:noProof/>
                <w:webHidden/>
                <w:sz w:val="24"/>
                <w:szCs w:val="24"/>
              </w:rPr>
              <w:fldChar w:fldCharType="begin"/>
            </w:r>
            <w:r w:rsidR="00B444F1" w:rsidRPr="003D13AF">
              <w:rPr>
                <w:rFonts w:ascii="Times New Roman" w:hAnsi="Times New Roman"/>
                <w:noProof/>
                <w:webHidden/>
                <w:sz w:val="24"/>
                <w:szCs w:val="24"/>
              </w:rPr>
              <w:instrText xml:space="preserve"> PAGEREF _Toc99919331 \h </w:instrText>
            </w:r>
            <w:r w:rsidR="00B444F1" w:rsidRPr="003D13AF">
              <w:rPr>
                <w:rFonts w:ascii="Times New Roman" w:hAnsi="Times New Roman"/>
                <w:noProof/>
                <w:webHidden/>
                <w:sz w:val="24"/>
                <w:szCs w:val="24"/>
              </w:rPr>
            </w:r>
            <w:r w:rsidR="00B444F1" w:rsidRPr="003D13AF">
              <w:rPr>
                <w:rFonts w:ascii="Times New Roman" w:hAnsi="Times New Roman"/>
                <w:noProof/>
                <w:webHidden/>
                <w:sz w:val="24"/>
                <w:szCs w:val="24"/>
              </w:rPr>
              <w:fldChar w:fldCharType="separate"/>
            </w:r>
            <w:r w:rsidR="00B444F1" w:rsidRPr="003D13AF">
              <w:rPr>
                <w:rFonts w:ascii="Times New Roman" w:hAnsi="Times New Roman"/>
                <w:noProof/>
                <w:webHidden/>
                <w:sz w:val="24"/>
                <w:szCs w:val="24"/>
              </w:rPr>
              <w:t>7</w:t>
            </w:r>
            <w:r w:rsidR="00B444F1" w:rsidRPr="003D13AF">
              <w:rPr>
                <w:rFonts w:ascii="Times New Roman" w:hAnsi="Times New Roman"/>
                <w:noProof/>
                <w:webHidden/>
                <w:sz w:val="24"/>
                <w:szCs w:val="24"/>
              </w:rPr>
              <w:fldChar w:fldCharType="end"/>
            </w:r>
          </w:hyperlink>
        </w:p>
        <w:p w14:paraId="0A174AEA" w14:textId="6DC11BD3" w:rsidR="00B444F1" w:rsidRPr="003D13AF" w:rsidRDefault="00A86B02" w:rsidP="00B444F1">
          <w:pPr>
            <w:pStyle w:val="TOC2"/>
            <w:tabs>
              <w:tab w:val="right" w:leader="dot" w:pos="8489"/>
            </w:tabs>
            <w:spacing w:line="360" w:lineRule="auto"/>
            <w:rPr>
              <w:rFonts w:ascii="Times New Roman" w:eastAsiaTheme="minorEastAsia" w:hAnsi="Times New Roman"/>
              <w:b w:val="0"/>
              <w:noProof/>
              <w:sz w:val="24"/>
              <w:szCs w:val="24"/>
              <w:lang w:val="en-US" w:eastAsia="en-US"/>
            </w:rPr>
          </w:pPr>
          <w:hyperlink w:anchor="_Toc99919332" w:history="1">
            <w:r w:rsidR="00B444F1" w:rsidRPr="003D13AF">
              <w:rPr>
                <w:rStyle w:val="Hyperlink"/>
                <w:rFonts w:ascii="Times New Roman" w:hAnsi="Times New Roman"/>
                <w:noProof/>
                <w:sz w:val="24"/>
                <w:szCs w:val="24"/>
              </w:rPr>
              <w:t>2.2 Conventional monetary policy spillovers: empirical evidence</w:t>
            </w:r>
            <w:r w:rsidR="00B444F1" w:rsidRPr="003D13AF">
              <w:rPr>
                <w:rFonts w:ascii="Times New Roman" w:hAnsi="Times New Roman"/>
                <w:noProof/>
                <w:webHidden/>
                <w:sz w:val="24"/>
                <w:szCs w:val="24"/>
              </w:rPr>
              <w:tab/>
            </w:r>
            <w:r w:rsidR="00B444F1" w:rsidRPr="003D13AF">
              <w:rPr>
                <w:rFonts w:ascii="Times New Roman" w:hAnsi="Times New Roman"/>
                <w:noProof/>
                <w:webHidden/>
                <w:sz w:val="24"/>
                <w:szCs w:val="24"/>
              </w:rPr>
              <w:fldChar w:fldCharType="begin"/>
            </w:r>
            <w:r w:rsidR="00B444F1" w:rsidRPr="003D13AF">
              <w:rPr>
                <w:rFonts w:ascii="Times New Roman" w:hAnsi="Times New Roman"/>
                <w:noProof/>
                <w:webHidden/>
                <w:sz w:val="24"/>
                <w:szCs w:val="24"/>
              </w:rPr>
              <w:instrText xml:space="preserve"> PAGEREF _Toc99919332 \h </w:instrText>
            </w:r>
            <w:r w:rsidR="00B444F1" w:rsidRPr="003D13AF">
              <w:rPr>
                <w:rFonts w:ascii="Times New Roman" w:hAnsi="Times New Roman"/>
                <w:noProof/>
                <w:webHidden/>
                <w:sz w:val="24"/>
                <w:szCs w:val="24"/>
              </w:rPr>
            </w:r>
            <w:r w:rsidR="00B444F1" w:rsidRPr="003D13AF">
              <w:rPr>
                <w:rFonts w:ascii="Times New Roman" w:hAnsi="Times New Roman"/>
                <w:noProof/>
                <w:webHidden/>
                <w:sz w:val="24"/>
                <w:szCs w:val="24"/>
              </w:rPr>
              <w:fldChar w:fldCharType="separate"/>
            </w:r>
            <w:r w:rsidR="00B444F1" w:rsidRPr="003D13AF">
              <w:rPr>
                <w:rFonts w:ascii="Times New Roman" w:hAnsi="Times New Roman"/>
                <w:noProof/>
                <w:webHidden/>
                <w:sz w:val="24"/>
                <w:szCs w:val="24"/>
              </w:rPr>
              <w:t>10</w:t>
            </w:r>
            <w:r w:rsidR="00B444F1" w:rsidRPr="003D13AF">
              <w:rPr>
                <w:rFonts w:ascii="Times New Roman" w:hAnsi="Times New Roman"/>
                <w:noProof/>
                <w:webHidden/>
                <w:sz w:val="24"/>
                <w:szCs w:val="24"/>
              </w:rPr>
              <w:fldChar w:fldCharType="end"/>
            </w:r>
          </w:hyperlink>
        </w:p>
        <w:p w14:paraId="3AA1A06A" w14:textId="3FF55423" w:rsidR="00B444F1" w:rsidRPr="003D13AF" w:rsidRDefault="00A86B02" w:rsidP="00B444F1">
          <w:pPr>
            <w:pStyle w:val="TOC2"/>
            <w:tabs>
              <w:tab w:val="right" w:leader="dot" w:pos="8489"/>
            </w:tabs>
            <w:spacing w:line="360" w:lineRule="auto"/>
            <w:rPr>
              <w:rFonts w:ascii="Times New Roman" w:eastAsiaTheme="minorEastAsia" w:hAnsi="Times New Roman"/>
              <w:b w:val="0"/>
              <w:noProof/>
              <w:sz w:val="24"/>
              <w:szCs w:val="24"/>
              <w:lang w:val="en-US" w:eastAsia="en-US"/>
            </w:rPr>
          </w:pPr>
          <w:hyperlink w:anchor="_Toc99919333" w:history="1">
            <w:r w:rsidR="00B444F1" w:rsidRPr="003D13AF">
              <w:rPr>
                <w:rStyle w:val="Hyperlink"/>
                <w:rFonts w:ascii="Times New Roman" w:hAnsi="Times New Roman"/>
                <w:noProof/>
                <w:sz w:val="24"/>
                <w:szCs w:val="24"/>
              </w:rPr>
              <w:t>2.3 A brief description of unconventional monetary policy tools</w:t>
            </w:r>
            <w:r w:rsidR="00B444F1" w:rsidRPr="003D13AF">
              <w:rPr>
                <w:rFonts w:ascii="Times New Roman" w:hAnsi="Times New Roman"/>
                <w:noProof/>
                <w:webHidden/>
                <w:sz w:val="24"/>
                <w:szCs w:val="24"/>
              </w:rPr>
              <w:tab/>
            </w:r>
            <w:r w:rsidR="00B444F1" w:rsidRPr="003D13AF">
              <w:rPr>
                <w:rFonts w:ascii="Times New Roman" w:hAnsi="Times New Roman"/>
                <w:noProof/>
                <w:webHidden/>
                <w:sz w:val="24"/>
                <w:szCs w:val="24"/>
              </w:rPr>
              <w:fldChar w:fldCharType="begin"/>
            </w:r>
            <w:r w:rsidR="00B444F1" w:rsidRPr="003D13AF">
              <w:rPr>
                <w:rFonts w:ascii="Times New Roman" w:hAnsi="Times New Roman"/>
                <w:noProof/>
                <w:webHidden/>
                <w:sz w:val="24"/>
                <w:szCs w:val="24"/>
              </w:rPr>
              <w:instrText xml:space="preserve"> PAGEREF _Toc99919333 \h </w:instrText>
            </w:r>
            <w:r w:rsidR="00B444F1" w:rsidRPr="003D13AF">
              <w:rPr>
                <w:rFonts w:ascii="Times New Roman" w:hAnsi="Times New Roman"/>
                <w:noProof/>
                <w:webHidden/>
                <w:sz w:val="24"/>
                <w:szCs w:val="24"/>
              </w:rPr>
            </w:r>
            <w:r w:rsidR="00B444F1" w:rsidRPr="003D13AF">
              <w:rPr>
                <w:rFonts w:ascii="Times New Roman" w:hAnsi="Times New Roman"/>
                <w:noProof/>
                <w:webHidden/>
                <w:sz w:val="24"/>
                <w:szCs w:val="24"/>
              </w:rPr>
              <w:fldChar w:fldCharType="separate"/>
            </w:r>
            <w:r w:rsidR="00B444F1" w:rsidRPr="003D13AF">
              <w:rPr>
                <w:rFonts w:ascii="Times New Roman" w:hAnsi="Times New Roman"/>
                <w:noProof/>
                <w:webHidden/>
                <w:sz w:val="24"/>
                <w:szCs w:val="24"/>
              </w:rPr>
              <w:t>12</w:t>
            </w:r>
            <w:r w:rsidR="00B444F1" w:rsidRPr="003D13AF">
              <w:rPr>
                <w:rFonts w:ascii="Times New Roman" w:hAnsi="Times New Roman"/>
                <w:noProof/>
                <w:webHidden/>
                <w:sz w:val="24"/>
                <w:szCs w:val="24"/>
              </w:rPr>
              <w:fldChar w:fldCharType="end"/>
            </w:r>
          </w:hyperlink>
        </w:p>
        <w:p w14:paraId="6593DF31" w14:textId="42F0D3D7" w:rsidR="00B444F1" w:rsidRPr="003D13AF" w:rsidRDefault="00A86B02" w:rsidP="00B444F1">
          <w:pPr>
            <w:pStyle w:val="TOC2"/>
            <w:tabs>
              <w:tab w:val="right" w:leader="dot" w:pos="8489"/>
            </w:tabs>
            <w:spacing w:line="360" w:lineRule="auto"/>
            <w:rPr>
              <w:rFonts w:ascii="Times New Roman" w:eastAsiaTheme="minorEastAsia" w:hAnsi="Times New Roman"/>
              <w:b w:val="0"/>
              <w:noProof/>
              <w:sz w:val="24"/>
              <w:szCs w:val="24"/>
              <w:lang w:val="en-US" w:eastAsia="en-US"/>
            </w:rPr>
          </w:pPr>
          <w:hyperlink w:anchor="_Toc99919334" w:history="1">
            <w:r w:rsidR="00B444F1" w:rsidRPr="003D13AF">
              <w:rPr>
                <w:rStyle w:val="Hyperlink"/>
                <w:rFonts w:ascii="Times New Roman" w:hAnsi="Times New Roman"/>
                <w:noProof/>
                <w:sz w:val="24"/>
                <w:szCs w:val="24"/>
              </w:rPr>
              <w:t>2.4 Empirical evidence of the spillover effects from the unconventional monetary policy tools</w:t>
            </w:r>
            <w:r w:rsidR="00B444F1" w:rsidRPr="003D13AF">
              <w:rPr>
                <w:rFonts w:ascii="Times New Roman" w:hAnsi="Times New Roman"/>
                <w:noProof/>
                <w:webHidden/>
                <w:sz w:val="24"/>
                <w:szCs w:val="24"/>
              </w:rPr>
              <w:tab/>
            </w:r>
            <w:r w:rsidR="00B444F1" w:rsidRPr="003D13AF">
              <w:rPr>
                <w:rFonts w:ascii="Times New Roman" w:hAnsi="Times New Roman"/>
                <w:noProof/>
                <w:webHidden/>
                <w:sz w:val="24"/>
                <w:szCs w:val="24"/>
              </w:rPr>
              <w:fldChar w:fldCharType="begin"/>
            </w:r>
            <w:r w:rsidR="00B444F1" w:rsidRPr="003D13AF">
              <w:rPr>
                <w:rFonts w:ascii="Times New Roman" w:hAnsi="Times New Roman"/>
                <w:noProof/>
                <w:webHidden/>
                <w:sz w:val="24"/>
                <w:szCs w:val="24"/>
              </w:rPr>
              <w:instrText xml:space="preserve"> PAGEREF _Toc99919334 \h </w:instrText>
            </w:r>
            <w:r w:rsidR="00B444F1" w:rsidRPr="003D13AF">
              <w:rPr>
                <w:rFonts w:ascii="Times New Roman" w:hAnsi="Times New Roman"/>
                <w:noProof/>
                <w:webHidden/>
                <w:sz w:val="24"/>
                <w:szCs w:val="24"/>
              </w:rPr>
            </w:r>
            <w:r w:rsidR="00B444F1" w:rsidRPr="003D13AF">
              <w:rPr>
                <w:rFonts w:ascii="Times New Roman" w:hAnsi="Times New Roman"/>
                <w:noProof/>
                <w:webHidden/>
                <w:sz w:val="24"/>
                <w:szCs w:val="24"/>
              </w:rPr>
              <w:fldChar w:fldCharType="separate"/>
            </w:r>
            <w:r w:rsidR="00B444F1" w:rsidRPr="003D13AF">
              <w:rPr>
                <w:rFonts w:ascii="Times New Roman" w:hAnsi="Times New Roman"/>
                <w:noProof/>
                <w:webHidden/>
                <w:sz w:val="24"/>
                <w:szCs w:val="24"/>
              </w:rPr>
              <w:t>15</w:t>
            </w:r>
            <w:r w:rsidR="00B444F1" w:rsidRPr="003D13AF">
              <w:rPr>
                <w:rFonts w:ascii="Times New Roman" w:hAnsi="Times New Roman"/>
                <w:noProof/>
                <w:webHidden/>
                <w:sz w:val="24"/>
                <w:szCs w:val="24"/>
              </w:rPr>
              <w:fldChar w:fldCharType="end"/>
            </w:r>
          </w:hyperlink>
        </w:p>
        <w:p w14:paraId="74E64F16" w14:textId="024AC1F6" w:rsidR="00B444F1" w:rsidRPr="003D13AF" w:rsidRDefault="00A86B02" w:rsidP="00B444F1">
          <w:pPr>
            <w:pStyle w:val="TOC1"/>
            <w:tabs>
              <w:tab w:val="right" w:leader="dot" w:pos="8489"/>
            </w:tabs>
            <w:spacing w:before="0" w:line="360" w:lineRule="auto"/>
            <w:rPr>
              <w:rFonts w:ascii="Times New Roman" w:eastAsiaTheme="minorEastAsia" w:hAnsi="Times New Roman"/>
              <w:b w:val="0"/>
              <w:noProof/>
              <w:lang w:val="en-US" w:eastAsia="en-US"/>
            </w:rPr>
          </w:pPr>
          <w:hyperlink w:anchor="_Toc99919335" w:history="1">
            <w:r w:rsidR="00B444F1" w:rsidRPr="003D13AF">
              <w:rPr>
                <w:rStyle w:val="Hyperlink"/>
                <w:rFonts w:ascii="Times New Roman" w:hAnsi="Times New Roman"/>
                <w:noProof/>
              </w:rPr>
              <w:t>3. Methodology</w:t>
            </w:r>
            <w:r w:rsidR="00B444F1" w:rsidRPr="003D13AF">
              <w:rPr>
                <w:rFonts w:ascii="Times New Roman" w:hAnsi="Times New Roman"/>
                <w:noProof/>
                <w:webHidden/>
              </w:rPr>
              <w:tab/>
            </w:r>
            <w:r w:rsidR="00B444F1" w:rsidRPr="003D13AF">
              <w:rPr>
                <w:rFonts w:ascii="Times New Roman" w:hAnsi="Times New Roman"/>
                <w:noProof/>
                <w:webHidden/>
              </w:rPr>
              <w:fldChar w:fldCharType="begin"/>
            </w:r>
            <w:r w:rsidR="00B444F1" w:rsidRPr="003D13AF">
              <w:rPr>
                <w:rFonts w:ascii="Times New Roman" w:hAnsi="Times New Roman"/>
                <w:noProof/>
                <w:webHidden/>
              </w:rPr>
              <w:instrText xml:space="preserve"> PAGEREF _Toc99919335 \h </w:instrText>
            </w:r>
            <w:r w:rsidR="00B444F1" w:rsidRPr="003D13AF">
              <w:rPr>
                <w:rFonts w:ascii="Times New Roman" w:hAnsi="Times New Roman"/>
                <w:noProof/>
                <w:webHidden/>
              </w:rPr>
            </w:r>
            <w:r w:rsidR="00B444F1" w:rsidRPr="003D13AF">
              <w:rPr>
                <w:rFonts w:ascii="Times New Roman" w:hAnsi="Times New Roman"/>
                <w:noProof/>
                <w:webHidden/>
              </w:rPr>
              <w:fldChar w:fldCharType="separate"/>
            </w:r>
            <w:r w:rsidR="00B444F1" w:rsidRPr="003D13AF">
              <w:rPr>
                <w:rFonts w:ascii="Times New Roman" w:hAnsi="Times New Roman"/>
                <w:noProof/>
                <w:webHidden/>
              </w:rPr>
              <w:t>18</w:t>
            </w:r>
            <w:r w:rsidR="00B444F1" w:rsidRPr="003D13AF">
              <w:rPr>
                <w:rFonts w:ascii="Times New Roman" w:hAnsi="Times New Roman"/>
                <w:noProof/>
                <w:webHidden/>
              </w:rPr>
              <w:fldChar w:fldCharType="end"/>
            </w:r>
          </w:hyperlink>
        </w:p>
        <w:p w14:paraId="4274FB99" w14:textId="0D6C0E04" w:rsidR="00B444F1" w:rsidRPr="003D13AF" w:rsidRDefault="00A86B02" w:rsidP="00B444F1">
          <w:pPr>
            <w:pStyle w:val="TOC2"/>
            <w:tabs>
              <w:tab w:val="right" w:leader="dot" w:pos="8489"/>
            </w:tabs>
            <w:spacing w:line="360" w:lineRule="auto"/>
            <w:rPr>
              <w:rFonts w:ascii="Times New Roman" w:eastAsiaTheme="minorEastAsia" w:hAnsi="Times New Roman"/>
              <w:b w:val="0"/>
              <w:noProof/>
              <w:sz w:val="24"/>
              <w:szCs w:val="24"/>
              <w:lang w:val="en-US" w:eastAsia="en-US"/>
            </w:rPr>
          </w:pPr>
          <w:hyperlink w:anchor="_Toc99919336" w:history="1">
            <w:r w:rsidR="00B444F1" w:rsidRPr="003D13AF">
              <w:rPr>
                <w:rStyle w:val="Hyperlink"/>
                <w:rFonts w:ascii="Times New Roman" w:hAnsi="Times New Roman"/>
                <w:noProof/>
                <w:sz w:val="24"/>
                <w:szCs w:val="24"/>
              </w:rPr>
              <w:t>3.1 Monetary Policy Shock Identification</w:t>
            </w:r>
            <w:r w:rsidR="00B444F1" w:rsidRPr="003D13AF">
              <w:rPr>
                <w:rFonts w:ascii="Times New Roman" w:hAnsi="Times New Roman"/>
                <w:noProof/>
                <w:webHidden/>
                <w:sz w:val="24"/>
                <w:szCs w:val="24"/>
              </w:rPr>
              <w:tab/>
            </w:r>
            <w:r w:rsidR="00B444F1" w:rsidRPr="003D13AF">
              <w:rPr>
                <w:rFonts w:ascii="Times New Roman" w:hAnsi="Times New Roman"/>
                <w:noProof/>
                <w:webHidden/>
                <w:sz w:val="24"/>
                <w:szCs w:val="24"/>
              </w:rPr>
              <w:fldChar w:fldCharType="begin"/>
            </w:r>
            <w:r w:rsidR="00B444F1" w:rsidRPr="003D13AF">
              <w:rPr>
                <w:rFonts w:ascii="Times New Roman" w:hAnsi="Times New Roman"/>
                <w:noProof/>
                <w:webHidden/>
                <w:sz w:val="24"/>
                <w:szCs w:val="24"/>
              </w:rPr>
              <w:instrText xml:space="preserve"> PAGEREF _Toc99919336 \h </w:instrText>
            </w:r>
            <w:r w:rsidR="00B444F1" w:rsidRPr="003D13AF">
              <w:rPr>
                <w:rFonts w:ascii="Times New Roman" w:hAnsi="Times New Roman"/>
                <w:noProof/>
                <w:webHidden/>
                <w:sz w:val="24"/>
                <w:szCs w:val="24"/>
              </w:rPr>
            </w:r>
            <w:r w:rsidR="00B444F1" w:rsidRPr="003D13AF">
              <w:rPr>
                <w:rFonts w:ascii="Times New Roman" w:hAnsi="Times New Roman"/>
                <w:noProof/>
                <w:webHidden/>
                <w:sz w:val="24"/>
                <w:szCs w:val="24"/>
              </w:rPr>
              <w:fldChar w:fldCharType="separate"/>
            </w:r>
            <w:r w:rsidR="00B444F1" w:rsidRPr="003D13AF">
              <w:rPr>
                <w:rFonts w:ascii="Times New Roman" w:hAnsi="Times New Roman"/>
                <w:noProof/>
                <w:webHidden/>
                <w:sz w:val="24"/>
                <w:szCs w:val="24"/>
              </w:rPr>
              <w:t>20</w:t>
            </w:r>
            <w:r w:rsidR="00B444F1" w:rsidRPr="003D13AF">
              <w:rPr>
                <w:rFonts w:ascii="Times New Roman" w:hAnsi="Times New Roman"/>
                <w:noProof/>
                <w:webHidden/>
                <w:sz w:val="24"/>
                <w:szCs w:val="24"/>
              </w:rPr>
              <w:fldChar w:fldCharType="end"/>
            </w:r>
          </w:hyperlink>
        </w:p>
        <w:p w14:paraId="1CE4F91F" w14:textId="36558C76" w:rsidR="00B444F1" w:rsidRPr="003D13AF" w:rsidRDefault="00A86B02" w:rsidP="00B444F1">
          <w:pPr>
            <w:pStyle w:val="TOC1"/>
            <w:tabs>
              <w:tab w:val="right" w:leader="dot" w:pos="8489"/>
            </w:tabs>
            <w:spacing w:before="0" w:line="360" w:lineRule="auto"/>
            <w:rPr>
              <w:rFonts w:ascii="Times New Roman" w:eastAsiaTheme="minorEastAsia" w:hAnsi="Times New Roman"/>
              <w:b w:val="0"/>
              <w:noProof/>
              <w:lang w:val="en-US" w:eastAsia="en-US"/>
            </w:rPr>
          </w:pPr>
          <w:hyperlink w:anchor="_Toc99919337" w:history="1">
            <w:r w:rsidR="00B444F1" w:rsidRPr="003D13AF">
              <w:rPr>
                <w:rStyle w:val="Hyperlink"/>
                <w:rFonts w:ascii="Times New Roman" w:hAnsi="Times New Roman"/>
                <w:i/>
                <w:iCs/>
                <w:noProof/>
              </w:rPr>
              <w:t>4. Analysis of results</w:t>
            </w:r>
            <w:r w:rsidR="00B444F1" w:rsidRPr="003D13AF">
              <w:rPr>
                <w:rFonts w:ascii="Times New Roman" w:hAnsi="Times New Roman"/>
                <w:noProof/>
                <w:webHidden/>
              </w:rPr>
              <w:tab/>
            </w:r>
            <w:r w:rsidR="00B444F1" w:rsidRPr="003D13AF">
              <w:rPr>
                <w:rFonts w:ascii="Times New Roman" w:hAnsi="Times New Roman"/>
                <w:noProof/>
                <w:webHidden/>
              </w:rPr>
              <w:fldChar w:fldCharType="begin"/>
            </w:r>
            <w:r w:rsidR="00B444F1" w:rsidRPr="003D13AF">
              <w:rPr>
                <w:rFonts w:ascii="Times New Roman" w:hAnsi="Times New Roman"/>
                <w:noProof/>
                <w:webHidden/>
              </w:rPr>
              <w:instrText xml:space="preserve"> PAGEREF _Toc99919337 \h </w:instrText>
            </w:r>
            <w:r w:rsidR="00B444F1" w:rsidRPr="003D13AF">
              <w:rPr>
                <w:rFonts w:ascii="Times New Roman" w:hAnsi="Times New Roman"/>
                <w:noProof/>
                <w:webHidden/>
              </w:rPr>
            </w:r>
            <w:r w:rsidR="00B444F1" w:rsidRPr="003D13AF">
              <w:rPr>
                <w:rFonts w:ascii="Times New Roman" w:hAnsi="Times New Roman"/>
                <w:noProof/>
                <w:webHidden/>
              </w:rPr>
              <w:fldChar w:fldCharType="separate"/>
            </w:r>
            <w:r w:rsidR="00B444F1" w:rsidRPr="003D13AF">
              <w:rPr>
                <w:rFonts w:ascii="Times New Roman" w:hAnsi="Times New Roman"/>
                <w:noProof/>
                <w:webHidden/>
              </w:rPr>
              <w:t>22</w:t>
            </w:r>
            <w:r w:rsidR="00B444F1" w:rsidRPr="003D13AF">
              <w:rPr>
                <w:rFonts w:ascii="Times New Roman" w:hAnsi="Times New Roman"/>
                <w:noProof/>
                <w:webHidden/>
              </w:rPr>
              <w:fldChar w:fldCharType="end"/>
            </w:r>
          </w:hyperlink>
        </w:p>
        <w:p w14:paraId="1735DA41" w14:textId="18FD27A1" w:rsidR="00B444F1" w:rsidRPr="003D13AF" w:rsidRDefault="00A86B02" w:rsidP="00B444F1">
          <w:pPr>
            <w:pStyle w:val="TOC2"/>
            <w:tabs>
              <w:tab w:val="right" w:leader="dot" w:pos="8489"/>
            </w:tabs>
            <w:spacing w:line="360" w:lineRule="auto"/>
            <w:rPr>
              <w:rFonts w:ascii="Times New Roman" w:eastAsiaTheme="minorEastAsia" w:hAnsi="Times New Roman"/>
              <w:b w:val="0"/>
              <w:noProof/>
              <w:sz w:val="24"/>
              <w:szCs w:val="24"/>
              <w:lang w:val="en-US" w:eastAsia="en-US"/>
            </w:rPr>
          </w:pPr>
          <w:hyperlink w:anchor="_Toc99919338" w:history="1">
            <w:r w:rsidR="00B444F1" w:rsidRPr="003D13AF">
              <w:rPr>
                <w:rStyle w:val="Hyperlink"/>
                <w:rFonts w:ascii="Times New Roman" w:hAnsi="Times New Roman"/>
                <w:noProof/>
                <w:sz w:val="24"/>
                <w:szCs w:val="24"/>
              </w:rPr>
              <w:t>4.1 Effects from Quantitative Easing (QE) shock</w:t>
            </w:r>
            <w:r w:rsidR="00B444F1" w:rsidRPr="003D13AF">
              <w:rPr>
                <w:rFonts w:ascii="Times New Roman" w:hAnsi="Times New Roman"/>
                <w:noProof/>
                <w:webHidden/>
                <w:sz w:val="24"/>
                <w:szCs w:val="24"/>
              </w:rPr>
              <w:tab/>
            </w:r>
            <w:r w:rsidR="00B444F1" w:rsidRPr="003D13AF">
              <w:rPr>
                <w:rFonts w:ascii="Times New Roman" w:hAnsi="Times New Roman"/>
                <w:noProof/>
                <w:webHidden/>
                <w:sz w:val="24"/>
                <w:szCs w:val="24"/>
              </w:rPr>
              <w:fldChar w:fldCharType="begin"/>
            </w:r>
            <w:r w:rsidR="00B444F1" w:rsidRPr="003D13AF">
              <w:rPr>
                <w:rFonts w:ascii="Times New Roman" w:hAnsi="Times New Roman"/>
                <w:noProof/>
                <w:webHidden/>
                <w:sz w:val="24"/>
                <w:szCs w:val="24"/>
              </w:rPr>
              <w:instrText xml:space="preserve"> PAGEREF _Toc99919338 \h </w:instrText>
            </w:r>
            <w:r w:rsidR="00B444F1" w:rsidRPr="003D13AF">
              <w:rPr>
                <w:rFonts w:ascii="Times New Roman" w:hAnsi="Times New Roman"/>
                <w:noProof/>
                <w:webHidden/>
                <w:sz w:val="24"/>
                <w:szCs w:val="24"/>
              </w:rPr>
            </w:r>
            <w:r w:rsidR="00B444F1" w:rsidRPr="003D13AF">
              <w:rPr>
                <w:rFonts w:ascii="Times New Roman" w:hAnsi="Times New Roman"/>
                <w:noProof/>
                <w:webHidden/>
                <w:sz w:val="24"/>
                <w:szCs w:val="24"/>
              </w:rPr>
              <w:fldChar w:fldCharType="separate"/>
            </w:r>
            <w:r w:rsidR="00B444F1" w:rsidRPr="003D13AF">
              <w:rPr>
                <w:rFonts w:ascii="Times New Roman" w:hAnsi="Times New Roman"/>
                <w:noProof/>
                <w:webHidden/>
                <w:sz w:val="24"/>
                <w:szCs w:val="24"/>
              </w:rPr>
              <w:t>22</w:t>
            </w:r>
            <w:r w:rsidR="00B444F1" w:rsidRPr="003D13AF">
              <w:rPr>
                <w:rFonts w:ascii="Times New Roman" w:hAnsi="Times New Roman"/>
                <w:noProof/>
                <w:webHidden/>
                <w:sz w:val="24"/>
                <w:szCs w:val="24"/>
              </w:rPr>
              <w:fldChar w:fldCharType="end"/>
            </w:r>
          </w:hyperlink>
        </w:p>
        <w:p w14:paraId="0802A7BD" w14:textId="35BB85EB" w:rsidR="00B444F1" w:rsidRPr="003D13AF" w:rsidRDefault="00A86B02" w:rsidP="00B444F1">
          <w:pPr>
            <w:pStyle w:val="TOC2"/>
            <w:tabs>
              <w:tab w:val="right" w:leader="dot" w:pos="8489"/>
            </w:tabs>
            <w:spacing w:line="360" w:lineRule="auto"/>
            <w:rPr>
              <w:rFonts w:ascii="Times New Roman" w:eastAsiaTheme="minorEastAsia" w:hAnsi="Times New Roman"/>
              <w:b w:val="0"/>
              <w:noProof/>
              <w:sz w:val="24"/>
              <w:szCs w:val="24"/>
              <w:lang w:val="en-US" w:eastAsia="en-US"/>
            </w:rPr>
          </w:pPr>
          <w:hyperlink w:anchor="_Toc99919339" w:history="1">
            <w:r w:rsidR="00B444F1" w:rsidRPr="003D13AF">
              <w:rPr>
                <w:rStyle w:val="Hyperlink"/>
                <w:rFonts w:ascii="Times New Roman" w:hAnsi="Times New Roman"/>
                <w:noProof/>
                <w:sz w:val="24"/>
                <w:szCs w:val="24"/>
              </w:rPr>
              <w:t>4.2 Effects from Target shock</w:t>
            </w:r>
            <w:r w:rsidR="00B444F1" w:rsidRPr="003D13AF">
              <w:rPr>
                <w:rFonts w:ascii="Times New Roman" w:hAnsi="Times New Roman"/>
                <w:noProof/>
                <w:webHidden/>
                <w:sz w:val="24"/>
                <w:szCs w:val="24"/>
              </w:rPr>
              <w:tab/>
            </w:r>
            <w:r w:rsidR="00B444F1" w:rsidRPr="003D13AF">
              <w:rPr>
                <w:rFonts w:ascii="Times New Roman" w:hAnsi="Times New Roman"/>
                <w:noProof/>
                <w:webHidden/>
                <w:sz w:val="24"/>
                <w:szCs w:val="24"/>
              </w:rPr>
              <w:fldChar w:fldCharType="begin"/>
            </w:r>
            <w:r w:rsidR="00B444F1" w:rsidRPr="003D13AF">
              <w:rPr>
                <w:rFonts w:ascii="Times New Roman" w:hAnsi="Times New Roman"/>
                <w:noProof/>
                <w:webHidden/>
                <w:sz w:val="24"/>
                <w:szCs w:val="24"/>
              </w:rPr>
              <w:instrText xml:space="preserve"> PAGEREF _Toc99919339 \h </w:instrText>
            </w:r>
            <w:r w:rsidR="00B444F1" w:rsidRPr="003D13AF">
              <w:rPr>
                <w:rFonts w:ascii="Times New Roman" w:hAnsi="Times New Roman"/>
                <w:noProof/>
                <w:webHidden/>
                <w:sz w:val="24"/>
                <w:szCs w:val="24"/>
              </w:rPr>
            </w:r>
            <w:r w:rsidR="00B444F1" w:rsidRPr="003D13AF">
              <w:rPr>
                <w:rFonts w:ascii="Times New Roman" w:hAnsi="Times New Roman"/>
                <w:noProof/>
                <w:webHidden/>
                <w:sz w:val="24"/>
                <w:szCs w:val="24"/>
              </w:rPr>
              <w:fldChar w:fldCharType="separate"/>
            </w:r>
            <w:r w:rsidR="00B444F1" w:rsidRPr="003D13AF">
              <w:rPr>
                <w:rFonts w:ascii="Times New Roman" w:hAnsi="Times New Roman"/>
                <w:noProof/>
                <w:webHidden/>
                <w:sz w:val="24"/>
                <w:szCs w:val="24"/>
              </w:rPr>
              <w:t>26</w:t>
            </w:r>
            <w:r w:rsidR="00B444F1" w:rsidRPr="003D13AF">
              <w:rPr>
                <w:rFonts w:ascii="Times New Roman" w:hAnsi="Times New Roman"/>
                <w:noProof/>
                <w:webHidden/>
                <w:sz w:val="24"/>
                <w:szCs w:val="24"/>
              </w:rPr>
              <w:fldChar w:fldCharType="end"/>
            </w:r>
          </w:hyperlink>
        </w:p>
        <w:p w14:paraId="68E9B302" w14:textId="3FFB4F06" w:rsidR="00B444F1" w:rsidRPr="003D13AF" w:rsidRDefault="00A86B02" w:rsidP="00B444F1">
          <w:pPr>
            <w:pStyle w:val="TOC2"/>
            <w:tabs>
              <w:tab w:val="right" w:leader="dot" w:pos="8489"/>
            </w:tabs>
            <w:spacing w:line="360" w:lineRule="auto"/>
            <w:rPr>
              <w:rFonts w:ascii="Times New Roman" w:eastAsiaTheme="minorEastAsia" w:hAnsi="Times New Roman"/>
              <w:b w:val="0"/>
              <w:noProof/>
              <w:sz w:val="24"/>
              <w:szCs w:val="24"/>
              <w:lang w:val="en-US" w:eastAsia="en-US"/>
            </w:rPr>
          </w:pPr>
          <w:hyperlink w:anchor="_Toc99919340" w:history="1">
            <w:r w:rsidR="00B444F1" w:rsidRPr="003D13AF">
              <w:rPr>
                <w:rStyle w:val="Hyperlink"/>
                <w:rFonts w:ascii="Times New Roman" w:hAnsi="Times New Roman"/>
                <w:noProof/>
                <w:sz w:val="24"/>
                <w:szCs w:val="24"/>
              </w:rPr>
              <w:t>4.3 Effects from Forward Guidance and Timing shock</w:t>
            </w:r>
            <w:r w:rsidR="00B444F1" w:rsidRPr="003D13AF">
              <w:rPr>
                <w:rFonts w:ascii="Times New Roman" w:hAnsi="Times New Roman"/>
                <w:noProof/>
                <w:webHidden/>
                <w:sz w:val="24"/>
                <w:szCs w:val="24"/>
              </w:rPr>
              <w:tab/>
            </w:r>
            <w:r w:rsidR="00B444F1" w:rsidRPr="003D13AF">
              <w:rPr>
                <w:rFonts w:ascii="Times New Roman" w:hAnsi="Times New Roman"/>
                <w:noProof/>
                <w:webHidden/>
                <w:sz w:val="24"/>
                <w:szCs w:val="24"/>
              </w:rPr>
              <w:fldChar w:fldCharType="begin"/>
            </w:r>
            <w:r w:rsidR="00B444F1" w:rsidRPr="003D13AF">
              <w:rPr>
                <w:rFonts w:ascii="Times New Roman" w:hAnsi="Times New Roman"/>
                <w:noProof/>
                <w:webHidden/>
                <w:sz w:val="24"/>
                <w:szCs w:val="24"/>
              </w:rPr>
              <w:instrText xml:space="preserve"> PAGEREF _Toc99919340 \h </w:instrText>
            </w:r>
            <w:r w:rsidR="00B444F1" w:rsidRPr="003D13AF">
              <w:rPr>
                <w:rFonts w:ascii="Times New Roman" w:hAnsi="Times New Roman"/>
                <w:noProof/>
                <w:webHidden/>
                <w:sz w:val="24"/>
                <w:szCs w:val="24"/>
              </w:rPr>
            </w:r>
            <w:r w:rsidR="00B444F1" w:rsidRPr="003D13AF">
              <w:rPr>
                <w:rFonts w:ascii="Times New Roman" w:hAnsi="Times New Roman"/>
                <w:noProof/>
                <w:webHidden/>
                <w:sz w:val="24"/>
                <w:szCs w:val="24"/>
              </w:rPr>
              <w:fldChar w:fldCharType="separate"/>
            </w:r>
            <w:r w:rsidR="00B444F1" w:rsidRPr="003D13AF">
              <w:rPr>
                <w:rFonts w:ascii="Times New Roman" w:hAnsi="Times New Roman"/>
                <w:noProof/>
                <w:webHidden/>
                <w:sz w:val="24"/>
                <w:szCs w:val="24"/>
              </w:rPr>
              <w:t>28</w:t>
            </w:r>
            <w:r w:rsidR="00B444F1" w:rsidRPr="003D13AF">
              <w:rPr>
                <w:rFonts w:ascii="Times New Roman" w:hAnsi="Times New Roman"/>
                <w:noProof/>
                <w:webHidden/>
                <w:sz w:val="24"/>
                <w:szCs w:val="24"/>
              </w:rPr>
              <w:fldChar w:fldCharType="end"/>
            </w:r>
          </w:hyperlink>
        </w:p>
        <w:p w14:paraId="68853A27" w14:textId="6472E7C3" w:rsidR="00B444F1" w:rsidRPr="003D13AF" w:rsidRDefault="00A86B02" w:rsidP="00B444F1">
          <w:pPr>
            <w:pStyle w:val="TOC1"/>
            <w:tabs>
              <w:tab w:val="right" w:leader="dot" w:pos="8489"/>
            </w:tabs>
            <w:spacing w:before="0" w:line="360" w:lineRule="auto"/>
            <w:rPr>
              <w:rFonts w:ascii="Times New Roman" w:eastAsiaTheme="minorEastAsia" w:hAnsi="Times New Roman"/>
              <w:b w:val="0"/>
              <w:noProof/>
              <w:lang w:val="en-US" w:eastAsia="en-US"/>
            </w:rPr>
          </w:pPr>
          <w:hyperlink w:anchor="_Toc99919341" w:history="1">
            <w:r w:rsidR="00B444F1" w:rsidRPr="003D13AF">
              <w:rPr>
                <w:rStyle w:val="Hyperlink"/>
                <w:rFonts w:ascii="Times New Roman" w:hAnsi="Times New Roman"/>
                <w:i/>
                <w:iCs/>
                <w:noProof/>
              </w:rPr>
              <w:t>5. Discussion</w:t>
            </w:r>
            <w:r w:rsidR="00B444F1" w:rsidRPr="003D13AF">
              <w:rPr>
                <w:rFonts w:ascii="Times New Roman" w:hAnsi="Times New Roman"/>
                <w:noProof/>
                <w:webHidden/>
              </w:rPr>
              <w:tab/>
            </w:r>
            <w:r w:rsidR="00B444F1" w:rsidRPr="003D13AF">
              <w:rPr>
                <w:rFonts w:ascii="Times New Roman" w:hAnsi="Times New Roman"/>
                <w:noProof/>
                <w:webHidden/>
              </w:rPr>
              <w:fldChar w:fldCharType="begin"/>
            </w:r>
            <w:r w:rsidR="00B444F1" w:rsidRPr="003D13AF">
              <w:rPr>
                <w:rFonts w:ascii="Times New Roman" w:hAnsi="Times New Roman"/>
                <w:noProof/>
                <w:webHidden/>
              </w:rPr>
              <w:instrText xml:space="preserve"> PAGEREF _Toc99919341 \h </w:instrText>
            </w:r>
            <w:r w:rsidR="00B444F1" w:rsidRPr="003D13AF">
              <w:rPr>
                <w:rFonts w:ascii="Times New Roman" w:hAnsi="Times New Roman"/>
                <w:noProof/>
                <w:webHidden/>
              </w:rPr>
            </w:r>
            <w:r w:rsidR="00B444F1" w:rsidRPr="003D13AF">
              <w:rPr>
                <w:rFonts w:ascii="Times New Roman" w:hAnsi="Times New Roman"/>
                <w:noProof/>
                <w:webHidden/>
              </w:rPr>
              <w:fldChar w:fldCharType="separate"/>
            </w:r>
            <w:r w:rsidR="00B444F1" w:rsidRPr="003D13AF">
              <w:rPr>
                <w:rFonts w:ascii="Times New Roman" w:hAnsi="Times New Roman"/>
                <w:noProof/>
                <w:webHidden/>
              </w:rPr>
              <w:t>32</w:t>
            </w:r>
            <w:r w:rsidR="00B444F1" w:rsidRPr="003D13AF">
              <w:rPr>
                <w:rFonts w:ascii="Times New Roman" w:hAnsi="Times New Roman"/>
                <w:noProof/>
                <w:webHidden/>
              </w:rPr>
              <w:fldChar w:fldCharType="end"/>
            </w:r>
          </w:hyperlink>
        </w:p>
        <w:p w14:paraId="5A14CF9F" w14:textId="3BAE6105" w:rsidR="00B444F1" w:rsidRPr="003D13AF" w:rsidRDefault="00A86B02" w:rsidP="00B444F1">
          <w:pPr>
            <w:pStyle w:val="TOC1"/>
            <w:tabs>
              <w:tab w:val="right" w:leader="dot" w:pos="8489"/>
            </w:tabs>
            <w:spacing w:before="0" w:line="360" w:lineRule="auto"/>
            <w:rPr>
              <w:rFonts w:ascii="Times New Roman" w:eastAsiaTheme="minorEastAsia" w:hAnsi="Times New Roman"/>
              <w:b w:val="0"/>
              <w:noProof/>
              <w:lang w:val="en-US" w:eastAsia="en-US"/>
            </w:rPr>
          </w:pPr>
          <w:hyperlink w:anchor="_Toc99919342" w:history="1">
            <w:r w:rsidR="00B444F1" w:rsidRPr="003D13AF">
              <w:rPr>
                <w:rStyle w:val="Hyperlink"/>
                <w:rFonts w:ascii="Times New Roman" w:hAnsi="Times New Roman"/>
                <w:i/>
                <w:iCs/>
                <w:noProof/>
              </w:rPr>
              <w:t>6. Conclusions</w:t>
            </w:r>
            <w:r w:rsidR="00B444F1" w:rsidRPr="003D13AF">
              <w:rPr>
                <w:rFonts w:ascii="Times New Roman" w:hAnsi="Times New Roman"/>
                <w:noProof/>
                <w:webHidden/>
              </w:rPr>
              <w:tab/>
            </w:r>
            <w:r w:rsidR="00B444F1" w:rsidRPr="003D13AF">
              <w:rPr>
                <w:rFonts w:ascii="Times New Roman" w:hAnsi="Times New Roman"/>
                <w:noProof/>
                <w:webHidden/>
              </w:rPr>
              <w:fldChar w:fldCharType="begin"/>
            </w:r>
            <w:r w:rsidR="00B444F1" w:rsidRPr="003D13AF">
              <w:rPr>
                <w:rFonts w:ascii="Times New Roman" w:hAnsi="Times New Roman"/>
                <w:noProof/>
                <w:webHidden/>
              </w:rPr>
              <w:instrText xml:space="preserve"> PAGEREF _Toc99919342 \h </w:instrText>
            </w:r>
            <w:r w:rsidR="00B444F1" w:rsidRPr="003D13AF">
              <w:rPr>
                <w:rFonts w:ascii="Times New Roman" w:hAnsi="Times New Roman"/>
                <w:noProof/>
                <w:webHidden/>
              </w:rPr>
            </w:r>
            <w:r w:rsidR="00B444F1" w:rsidRPr="003D13AF">
              <w:rPr>
                <w:rFonts w:ascii="Times New Roman" w:hAnsi="Times New Roman"/>
                <w:noProof/>
                <w:webHidden/>
              </w:rPr>
              <w:fldChar w:fldCharType="separate"/>
            </w:r>
            <w:r w:rsidR="00B444F1" w:rsidRPr="003D13AF">
              <w:rPr>
                <w:rFonts w:ascii="Times New Roman" w:hAnsi="Times New Roman"/>
                <w:noProof/>
                <w:webHidden/>
              </w:rPr>
              <w:t>34</w:t>
            </w:r>
            <w:r w:rsidR="00B444F1" w:rsidRPr="003D13AF">
              <w:rPr>
                <w:rFonts w:ascii="Times New Roman" w:hAnsi="Times New Roman"/>
                <w:noProof/>
                <w:webHidden/>
              </w:rPr>
              <w:fldChar w:fldCharType="end"/>
            </w:r>
          </w:hyperlink>
        </w:p>
        <w:p w14:paraId="6B6DDE5A" w14:textId="0285A37E" w:rsidR="00B444F1" w:rsidRPr="003D13AF" w:rsidRDefault="00A86B02" w:rsidP="00B444F1">
          <w:pPr>
            <w:pStyle w:val="TOC1"/>
            <w:tabs>
              <w:tab w:val="right" w:leader="dot" w:pos="8489"/>
            </w:tabs>
            <w:spacing w:before="0" w:line="360" w:lineRule="auto"/>
            <w:rPr>
              <w:rFonts w:ascii="Times New Roman" w:eastAsiaTheme="minorEastAsia" w:hAnsi="Times New Roman"/>
              <w:b w:val="0"/>
              <w:noProof/>
              <w:lang w:val="en-US" w:eastAsia="en-US"/>
            </w:rPr>
          </w:pPr>
          <w:hyperlink w:anchor="_Toc99919343" w:history="1">
            <w:r w:rsidR="00B444F1" w:rsidRPr="003D13AF">
              <w:rPr>
                <w:rStyle w:val="Hyperlink"/>
                <w:rFonts w:ascii="Times New Roman" w:hAnsi="Times New Roman"/>
                <w:i/>
                <w:iCs/>
                <w:noProof/>
              </w:rPr>
              <w:t>7. References</w:t>
            </w:r>
            <w:r w:rsidR="00B444F1" w:rsidRPr="003D13AF">
              <w:rPr>
                <w:rFonts w:ascii="Times New Roman" w:hAnsi="Times New Roman"/>
                <w:noProof/>
                <w:webHidden/>
              </w:rPr>
              <w:tab/>
            </w:r>
            <w:r w:rsidR="00B444F1" w:rsidRPr="003D13AF">
              <w:rPr>
                <w:rFonts w:ascii="Times New Roman" w:hAnsi="Times New Roman"/>
                <w:noProof/>
                <w:webHidden/>
              </w:rPr>
              <w:fldChar w:fldCharType="begin"/>
            </w:r>
            <w:r w:rsidR="00B444F1" w:rsidRPr="003D13AF">
              <w:rPr>
                <w:rFonts w:ascii="Times New Roman" w:hAnsi="Times New Roman"/>
                <w:noProof/>
                <w:webHidden/>
              </w:rPr>
              <w:instrText xml:space="preserve"> PAGEREF _Toc99919343 \h </w:instrText>
            </w:r>
            <w:r w:rsidR="00B444F1" w:rsidRPr="003D13AF">
              <w:rPr>
                <w:rFonts w:ascii="Times New Roman" w:hAnsi="Times New Roman"/>
                <w:noProof/>
                <w:webHidden/>
              </w:rPr>
            </w:r>
            <w:r w:rsidR="00B444F1" w:rsidRPr="003D13AF">
              <w:rPr>
                <w:rFonts w:ascii="Times New Roman" w:hAnsi="Times New Roman"/>
                <w:noProof/>
                <w:webHidden/>
              </w:rPr>
              <w:fldChar w:fldCharType="separate"/>
            </w:r>
            <w:r w:rsidR="00B444F1" w:rsidRPr="003D13AF">
              <w:rPr>
                <w:rFonts w:ascii="Times New Roman" w:hAnsi="Times New Roman"/>
                <w:noProof/>
                <w:webHidden/>
              </w:rPr>
              <w:t>35</w:t>
            </w:r>
            <w:r w:rsidR="00B444F1" w:rsidRPr="003D13AF">
              <w:rPr>
                <w:rFonts w:ascii="Times New Roman" w:hAnsi="Times New Roman"/>
                <w:noProof/>
                <w:webHidden/>
              </w:rPr>
              <w:fldChar w:fldCharType="end"/>
            </w:r>
          </w:hyperlink>
        </w:p>
        <w:p w14:paraId="70F8097F" w14:textId="3386AB78" w:rsidR="00B444F1" w:rsidRPr="003D13AF" w:rsidRDefault="00A86B02" w:rsidP="00B444F1">
          <w:pPr>
            <w:pStyle w:val="TOC1"/>
            <w:tabs>
              <w:tab w:val="right" w:leader="dot" w:pos="8489"/>
            </w:tabs>
            <w:spacing w:before="0" w:line="360" w:lineRule="auto"/>
            <w:rPr>
              <w:rFonts w:ascii="Times New Roman" w:eastAsiaTheme="minorEastAsia" w:hAnsi="Times New Roman"/>
              <w:b w:val="0"/>
              <w:noProof/>
              <w:lang w:val="en-US" w:eastAsia="en-US"/>
            </w:rPr>
          </w:pPr>
          <w:hyperlink w:anchor="_Toc99919344" w:history="1">
            <w:r w:rsidR="00B444F1" w:rsidRPr="003D13AF">
              <w:rPr>
                <w:rStyle w:val="Hyperlink"/>
                <w:rFonts w:ascii="Times New Roman" w:hAnsi="Times New Roman"/>
                <w:i/>
                <w:iCs/>
                <w:noProof/>
              </w:rPr>
              <w:t>8. Appendices</w:t>
            </w:r>
            <w:r w:rsidR="00B444F1" w:rsidRPr="003D13AF">
              <w:rPr>
                <w:rFonts w:ascii="Times New Roman" w:hAnsi="Times New Roman"/>
                <w:noProof/>
                <w:webHidden/>
              </w:rPr>
              <w:tab/>
            </w:r>
            <w:r w:rsidR="00B444F1" w:rsidRPr="003D13AF">
              <w:rPr>
                <w:rFonts w:ascii="Times New Roman" w:hAnsi="Times New Roman"/>
                <w:noProof/>
                <w:webHidden/>
              </w:rPr>
              <w:fldChar w:fldCharType="begin"/>
            </w:r>
            <w:r w:rsidR="00B444F1" w:rsidRPr="003D13AF">
              <w:rPr>
                <w:rFonts w:ascii="Times New Roman" w:hAnsi="Times New Roman"/>
                <w:noProof/>
                <w:webHidden/>
              </w:rPr>
              <w:instrText xml:space="preserve"> PAGEREF _Toc99919344 \h </w:instrText>
            </w:r>
            <w:r w:rsidR="00B444F1" w:rsidRPr="003D13AF">
              <w:rPr>
                <w:rFonts w:ascii="Times New Roman" w:hAnsi="Times New Roman"/>
                <w:noProof/>
                <w:webHidden/>
              </w:rPr>
            </w:r>
            <w:r w:rsidR="00B444F1" w:rsidRPr="003D13AF">
              <w:rPr>
                <w:rFonts w:ascii="Times New Roman" w:hAnsi="Times New Roman"/>
                <w:noProof/>
                <w:webHidden/>
              </w:rPr>
              <w:fldChar w:fldCharType="separate"/>
            </w:r>
            <w:r w:rsidR="00B444F1" w:rsidRPr="003D13AF">
              <w:rPr>
                <w:rFonts w:ascii="Times New Roman" w:hAnsi="Times New Roman"/>
                <w:noProof/>
                <w:webHidden/>
              </w:rPr>
              <w:t>44</w:t>
            </w:r>
            <w:r w:rsidR="00B444F1" w:rsidRPr="003D13AF">
              <w:rPr>
                <w:rFonts w:ascii="Times New Roman" w:hAnsi="Times New Roman"/>
                <w:noProof/>
                <w:webHidden/>
              </w:rPr>
              <w:fldChar w:fldCharType="end"/>
            </w:r>
          </w:hyperlink>
        </w:p>
        <w:p w14:paraId="192DEC46" w14:textId="6B733B65" w:rsidR="00B444F1" w:rsidRDefault="00B444F1" w:rsidP="00B444F1">
          <w:pPr>
            <w:spacing w:line="360" w:lineRule="auto"/>
          </w:pPr>
          <w:r>
            <w:rPr>
              <w:b/>
              <w:bCs/>
              <w:noProof/>
            </w:rPr>
            <w:fldChar w:fldCharType="end"/>
          </w:r>
        </w:p>
      </w:sdtContent>
    </w:sdt>
    <w:p w14:paraId="3994E3A5" w14:textId="194B4372" w:rsidR="007D3B6E" w:rsidRPr="00FD6AB2" w:rsidRDefault="007D3B6E" w:rsidP="002676FA">
      <w:pPr>
        <w:pStyle w:val="Abstract"/>
        <w:spacing w:before="0" w:after="0" w:line="240" w:lineRule="auto"/>
      </w:pPr>
    </w:p>
    <w:p w14:paraId="1FEE02FD" w14:textId="77777777" w:rsidR="007D3B6E" w:rsidRPr="007D3B6E" w:rsidRDefault="007D3B6E" w:rsidP="007D3B6E">
      <w:pPr>
        <w:pStyle w:val="Keywords"/>
      </w:pPr>
    </w:p>
    <w:p w14:paraId="04D4DA08" w14:textId="08DCB60E" w:rsidR="00314DD9" w:rsidRPr="00B444F1" w:rsidRDefault="002E28DD">
      <w:pPr>
        <w:spacing w:line="240" w:lineRule="auto"/>
      </w:pPr>
      <w:bookmarkStart w:id="4" w:name="_Toc268437074"/>
      <w:r>
        <w:br w:type="page"/>
      </w:r>
    </w:p>
    <w:p w14:paraId="4C4DA747" w14:textId="3D54E40D" w:rsidR="000C6BED" w:rsidRPr="00E85038" w:rsidRDefault="002E28DD" w:rsidP="00E85038">
      <w:pPr>
        <w:pStyle w:val="Heading1"/>
        <w:jc w:val="center"/>
        <w:rPr>
          <w:i/>
          <w:iCs/>
        </w:rPr>
      </w:pPr>
      <w:bookmarkStart w:id="5" w:name="_Toc371588561"/>
      <w:bookmarkStart w:id="6" w:name="_Toc99919328"/>
      <w:r w:rsidRPr="00E85038">
        <w:rPr>
          <w:i/>
          <w:iCs/>
        </w:rPr>
        <w:lastRenderedPageBreak/>
        <w:t>A</w:t>
      </w:r>
      <w:r w:rsidR="000C6BED" w:rsidRPr="00E85038">
        <w:rPr>
          <w:i/>
          <w:iCs/>
        </w:rPr>
        <w:t>bstract</w:t>
      </w:r>
      <w:bookmarkEnd w:id="4"/>
      <w:bookmarkEnd w:id="5"/>
      <w:bookmarkEnd w:id="6"/>
    </w:p>
    <w:p w14:paraId="315EBF75" w14:textId="165AA70B" w:rsidR="00A918A2" w:rsidRDefault="00A918A2" w:rsidP="00A918A2">
      <w:pPr>
        <w:spacing w:before="240" w:after="240" w:line="360" w:lineRule="auto"/>
        <w:ind w:firstLine="720"/>
      </w:pPr>
      <w:r w:rsidRPr="00E748B9">
        <w:rPr>
          <w:bCs/>
          <w:lang w:val="en-US"/>
        </w:rPr>
        <w:t>This paper investigates how different ECB monetary polic</w:t>
      </w:r>
      <w:r>
        <w:rPr>
          <w:bCs/>
          <w:lang w:val="en-US"/>
        </w:rPr>
        <w:t>y instruments</w:t>
      </w:r>
      <w:r w:rsidRPr="00E748B9">
        <w:rPr>
          <w:bCs/>
          <w:lang w:val="en-US"/>
        </w:rPr>
        <w:t xml:space="preserve"> affect macroeconomic indicators in Central and Eastern European </w:t>
      </w:r>
      <w:r>
        <w:rPr>
          <w:bCs/>
          <w:lang w:val="en-US"/>
        </w:rPr>
        <w:t xml:space="preserve">(CEE) </w:t>
      </w:r>
      <w:r w:rsidRPr="00E748B9">
        <w:rPr>
          <w:bCs/>
          <w:lang w:val="en-US"/>
        </w:rPr>
        <w:t>countries. To avoid “priced-in” effects and to be able to estimate the net impact of monetary policy, shocks are retrieved from the EA-MPD Database.</w:t>
      </w:r>
      <w:r w:rsidRPr="00E748B9">
        <w:t xml:space="preserve"> </w:t>
      </w:r>
      <w:r w:rsidRPr="00E748B9">
        <w:rPr>
          <w:bCs/>
          <w:lang w:val="en-US"/>
        </w:rPr>
        <w:t xml:space="preserve">The shocks also allow for the distinction of effects caused by different types of policies, which has not been done so far. The VARX model is used to estimate the response of GDP growth, exchange rates, interest rates, inflation, and equity prices to shocks caused by four types of monetary policy. </w:t>
      </w:r>
      <w:r>
        <w:rPr>
          <w:bCs/>
          <w:lang w:val="en-US"/>
        </w:rPr>
        <w:t xml:space="preserve">Based on the methodology used, shocks are interpreted as </w:t>
      </w:r>
      <w:r w:rsidRPr="00E748B9">
        <w:rPr>
          <w:lang w:val="en-US"/>
        </w:rPr>
        <w:t>monetary policy tightening surprises measured by one unit increase in the OIS rates of different maturities</w:t>
      </w:r>
      <w:r>
        <w:rPr>
          <w:lang w:val="en-US"/>
        </w:rPr>
        <w:t xml:space="preserve">. </w:t>
      </w:r>
      <w:r w:rsidRPr="00E748B9">
        <w:rPr>
          <w:bCs/>
          <w:lang w:val="en-US"/>
        </w:rPr>
        <w:t xml:space="preserve">The results indicate the reaction of the specified variables varies depending on the policy shock. </w:t>
      </w:r>
      <w:r>
        <w:rPr>
          <w:bCs/>
          <w:lang w:val="en-US"/>
        </w:rPr>
        <w:t xml:space="preserve">We find that Target and Timing shocks result in the contraction of GDP growth, while FG shock induces the opposite effect. The impact QE shock, in turn, varies by country, thus contributing to previous research highlighting the </w:t>
      </w:r>
      <w:r>
        <w:rPr>
          <w:lang w:val="en-US"/>
        </w:rPr>
        <w:t xml:space="preserve">ambiguity of the spillover effects for this particular instrument. </w:t>
      </w:r>
      <w:r>
        <w:t xml:space="preserve">We also attest the difference in response of exchange rate, which appreciates in case of QE, FG, and Timing shocks, and depreciates in response to Target shock. Furthermore, we observe heterogenous increase in interest rates caused by QE and FG shocks, whereas Target and Timing pose insignificant results. Both inflation and stock prices reacted differently to the shocks explored. The findings also provide some evidence of exchange rate and </w:t>
      </w:r>
      <w:proofErr w:type="spellStart"/>
      <w:r>
        <w:t>signaling</w:t>
      </w:r>
      <w:proofErr w:type="spellEnd"/>
      <w:r>
        <w:t xml:space="preserve"> channels.</w:t>
      </w:r>
    </w:p>
    <w:p w14:paraId="7BF29F91" w14:textId="75C57141" w:rsidR="00F51E32" w:rsidRDefault="00F51E32" w:rsidP="00A918A2">
      <w:pPr>
        <w:spacing w:before="240" w:after="240" w:line="360" w:lineRule="auto"/>
        <w:ind w:firstLine="720"/>
        <w:rPr>
          <w:b/>
          <w:bCs/>
        </w:rPr>
      </w:pPr>
      <w:r w:rsidRPr="00F51E32">
        <w:rPr>
          <w:b/>
          <w:bCs/>
        </w:rPr>
        <w:t xml:space="preserve">Acknowledgement </w:t>
      </w:r>
    </w:p>
    <w:p w14:paraId="149C76F7" w14:textId="77777777" w:rsidR="00273522" w:rsidRDefault="00273522" w:rsidP="00273522">
      <w:pPr>
        <w:spacing w:before="240" w:after="240" w:line="360" w:lineRule="auto"/>
      </w:pPr>
      <w:r>
        <w:t xml:space="preserve">The completion of this research could not have been possible without the expertise of our supervisor </w:t>
      </w:r>
      <w:proofErr w:type="spellStart"/>
      <w:r w:rsidRPr="00624923">
        <w:t>Kārlis</w:t>
      </w:r>
      <w:proofErr w:type="spellEnd"/>
      <w:r w:rsidRPr="00624923">
        <w:t xml:space="preserve"> </w:t>
      </w:r>
      <w:proofErr w:type="spellStart"/>
      <w:r w:rsidRPr="00624923">
        <w:t>Vilerts</w:t>
      </w:r>
      <w:proofErr w:type="spellEnd"/>
      <w:r>
        <w:t xml:space="preserve">. We would like to express our gratitude for the immense support provided during the study. </w:t>
      </w:r>
    </w:p>
    <w:p w14:paraId="282D29F3" w14:textId="1FBCAAE8" w:rsidR="00B80C96" w:rsidRPr="00273522" w:rsidRDefault="00B80C96" w:rsidP="00A918A2">
      <w:pPr>
        <w:spacing w:before="240" w:after="240" w:line="360" w:lineRule="auto"/>
        <w:ind w:firstLine="720"/>
      </w:pPr>
    </w:p>
    <w:p w14:paraId="7CBD9F0F" w14:textId="4042D22A" w:rsidR="00FD6AB2" w:rsidRDefault="00FD6AB2" w:rsidP="00FD6AB2">
      <w:pPr>
        <w:pStyle w:val="Paragraph"/>
        <w:rPr>
          <w:lang w:val="en-US"/>
        </w:rPr>
      </w:pPr>
    </w:p>
    <w:p w14:paraId="5E857730" w14:textId="413A55C9" w:rsidR="00A918A2" w:rsidRDefault="00A918A2" w:rsidP="00A918A2">
      <w:pPr>
        <w:pStyle w:val="Newparagraph"/>
        <w:rPr>
          <w:lang w:val="en-US"/>
        </w:rPr>
      </w:pPr>
    </w:p>
    <w:p w14:paraId="75F9E8B1" w14:textId="439C650B" w:rsidR="00A918A2" w:rsidRDefault="00A918A2" w:rsidP="00A918A2">
      <w:pPr>
        <w:pStyle w:val="Newparagraph"/>
        <w:rPr>
          <w:lang w:val="en-US"/>
        </w:rPr>
      </w:pPr>
    </w:p>
    <w:p w14:paraId="5C32A838" w14:textId="77777777" w:rsidR="00A918A2" w:rsidRPr="00A918A2" w:rsidRDefault="00A918A2" w:rsidP="00E91B5B">
      <w:pPr>
        <w:pStyle w:val="Newparagraph"/>
        <w:ind w:firstLine="0"/>
        <w:rPr>
          <w:lang w:val="en-US"/>
        </w:rPr>
      </w:pPr>
    </w:p>
    <w:p w14:paraId="3F7EFE4C" w14:textId="3C8727B7" w:rsidR="00A918A2" w:rsidRDefault="000C6BED" w:rsidP="00042406">
      <w:pPr>
        <w:pStyle w:val="Heading1"/>
        <w:numPr>
          <w:ilvl w:val="0"/>
          <w:numId w:val="39"/>
        </w:numPr>
        <w:jc w:val="center"/>
      </w:pPr>
      <w:bookmarkStart w:id="7" w:name="_Toc268437075"/>
      <w:bookmarkStart w:id="8" w:name="_Toc371588562"/>
      <w:bookmarkStart w:id="9" w:name="_Toc99919329"/>
      <w:r w:rsidRPr="00E85038">
        <w:rPr>
          <w:i/>
          <w:iCs/>
        </w:rPr>
        <w:lastRenderedPageBreak/>
        <w:t>Introduction</w:t>
      </w:r>
      <w:bookmarkStart w:id="10" w:name="_Toc268437076"/>
      <w:bookmarkEnd w:id="7"/>
      <w:bookmarkEnd w:id="8"/>
      <w:bookmarkEnd w:id="9"/>
      <w:r w:rsidR="002E28DD">
        <w:t xml:space="preserve"> </w:t>
      </w:r>
    </w:p>
    <w:p w14:paraId="4CD4DCA6" w14:textId="790089DD" w:rsidR="00A918A2" w:rsidRDefault="00A918A2" w:rsidP="00A918A2">
      <w:pPr>
        <w:pStyle w:val="Paragraph"/>
      </w:pPr>
    </w:p>
    <w:p w14:paraId="3BC2C53F" w14:textId="6D2C9221" w:rsidR="000142C2" w:rsidRDefault="00A918A2" w:rsidP="000142C2">
      <w:pPr>
        <w:spacing w:line="360" w:lineRule="auto"/>
        <w:ind w:firstLine="720"/>
      </w:pPr>
      <w:r w:rsidRPr="00E748B9">
        <w:t>For decades central banks have pursued an objective of ensuring price stability and sustainable economic growth</w:t>
      </w:r>
      <w:r w:rsidRPr="00E748B9">
        <w:rPr>
          <w:highlight w:val="white"/>
        </w:rPr>
        <w:t xml:space="preserve">. </w:t>
      </w:r>
      <w:proofErr w:type="gramStart"/>
      <w:r w:rsidRPr="00E748B9">
        <w:rPr>
          <w:highlight w:val="white"/>
        </w:rPr>
        <w:t>In particular, most</w:t>
      </w:r>
      <w:proofErr w:type="gramEnd"/>
      <w:r w:rsidRPr="00E748B9">
        <w:rPr>
          <w:highlight w:val="white"/>
        </w:rPr>
        <w:t xml:space="preserve"> central banks of the advanced countries have been targeting the rate of inflation - the rate at which consumer prices rise - at a level they assume to be healthy for the economy</w:t>
      </w:r>
      <w:r>
        <w:rPr>
          <w:highlight w:val="white"/>
        </w:rPr>
        <w:t xml:space="preserve"> (in most advanced economies this is interpreted as 2% inflation)</w:t>
      </w:r>
      <w:r w:rsidRPr="00E748B9">
        <w:rPr>
          <w:highlight w:val="white"/>
        </w:rPr>
        <w:t xml:space="preserve">. </w:t>
      </w:r>
      <w:r>
        <w:rPr>
          <w:highlight w:val="white"/>
        </w:rPr>
        <w:t xml:space="preserve">For largest part of last few </w:t>
      </w:r>
      <w:r w:rsidR="00552B3E">
        <w:rPr>
          <w:highlight w:val="white"/>
        </w:rPr>
        <w:t>decades,</w:t>
      </w:r>
      <w:r>
        <w:rPr>
          <w:highlight w:val="white"/>
        </w:rPr>
        <w:t xml:space="preserve"> t</w:t>
      </w:r>
      <w:r w:rsidRPr="00E748B9">
        <w:rPr>
          <w:highlight w:val="white"/>
        </w:rPr>
        <w:t>he main tool used by the central banks to achieve that was controlling short-term money market interest rates. By setting these rates, central banks</w:t>
      </w:r>
      <w:r w:rsidRPr="00E748B9">
        <w:t xml:space="preserve"> basically determine borrowing costs for businesses and individuals and thus can influence </w:t>
      </w:r>
      <w:r>
        <w:t xml:space="preserve">household and company consumption and investment </w:t>
      </w:r>
      <w:r w:rsidRPr="00E748B9">
        <w:t>behavior, and as a result, overall economic activity</w:t>
      </w:r>
      <w:r>
        <w:t xml:space="preserve">. </w:t>
      </w:r>
      <w:r w:rsidR="000142C2" w:rsidRPr="000142C2">
        <w:t xml:space="preserve">    </w:t>
      </w:r>
    </w:p>
    <w:p w14:paraId="6CCE788A" w14:textId="4C84D8C6" w:rsidR="00A918A2" w:rsidRPr="00E748B9" w:rsidRDefault="00A918A2" w:rsidP="000142C2">
      <w:pPr>
        <w:spacing w:line="360" w:lineRule="auto"/>
        <w:ind w:firstLine="720"/>
      </w:pPr>
      <w:r w:rsidRPr="00E748B9">
        <w:t xml:space="preserve">However, with the advent of the new century, there has been a significant shift in the conduct of monetary policy. After several years of low policy interest rates, they have hit an effective lower bound making the traditional approach less effective. Interest rates at or close to lower bound forced </w:t>
      </w:r>
      <w:r>
        <w:t xml:space="preserve">central </w:t>
      </w:r>
      <w:r w:rsidRPr="00E748B9">
        <w:t>banks to switch to alternative policy instruments such as forward guidance (FG), asset purchase programs (APP), negative interest rate policy (NIPR), and others. The emergence of new policy instruments has given rise to a new strand in the literature which investigates the effectiveness of the "new" and "unconventional" monetary policy tools. While the first papers focused on the policy effects within the country of its implementation, later the research has been expanded to the analysis of cross-border effects, also known as spillover</w:t>
      </w:r>
      <w:r>
        <w:t xml:space="preserve"> effects</w:t>
      </w:r>
      <w:r w:rsidRPr="00E748B9">
        <w:t>. A bulk of studies have investigated the spillover effects from the US to the euro area</w:t>
      </w:r>
      <w:r>
        <w:t xml:space="preserve">, </w:t>
      </w:r>
      <w:r w:rsidRPr="00E748B9">
        <w:t xml:space="preserve">but relatively little is known about the impact of the European Central Bank's (ECB) unconventional monetary policy tools on </w:t>
      </w:r>
      <w:r w:rsidR="00552B3E" w:rsidRPr="00E748B9">
        <w:t>neighbouring</w:t>
      </w:r>
      <w:r w:rsidRPr="00E748B9">
        <w:t xml:space="preserve"> non-euro area European Union (EU) countries.  Hence, this paper aims at filling this gap in the literature by investigating the spillover effects of the ECB's unconventional monetary policy tools.</w:t>
      </w:r>
    </w:p>
    <w:p w14:paraId="47F32E22" w14:textId="61F10BC2" w:rsidR="00A918A2" w:rsidRPr="00E748B9" w:rsidRDefault="00A918A2" w:rsidP="00B42297">
      <w:pPr>
        <w:spacing w:line="360" w:lineRule="auto"/>
        <w:ind w:firstLine="720"/>
      </w:pPr>
      <w:r w:rsidRPr="00E748B9">
        <w:t xml:space="preserve">Euro area and non-euro area EU countries are tightly linked by trading activities. Euro area makes up for a large share of exports and imports for all non-euro area EU member states and is a significant source of capital inflows. Such a close relationship makes them an interesting subject to study, therefore in this paper, we are going to examine the spillover effects of ECB's unconventional monetary policy tools on four </w:t>
      </w:r>
      <w:r w:rsidR="00B42297" w:rsidRPr="00E748B9">
        <w:t>neighbouring</w:t>
      </w:r>
      <w:r w:rsidRPr="00E748B9">
        <w:t xml:space="preserve"> EU countries, namely the Czech Republic, Poland, Hungary, and </w:t>
      </w:r>
      <w:r w:rsidRPr="00E748B9">
        <w:lastRenderedPageBreak/>
        <w:t>Romania. These countries, to our best knowledge, have received little attention in the related studies so far.</w:t>
      </w:r>
    </w:p>
    <w:p w14:paraId="573DACAF" w14:textId="41406AE8" w:rsidR="00A918A2" w:rsidRPr="00E748B9" w:rsidRDefault="00A918A2" w:rsidP="00B42297">
      <w:pPr>
        <w:spacing w:line="360" w:lineRule="auto"/>
        <w:ind w:firstLine="720"/>
      </w:pPr>
      <w:r w:rsidRPr="00E748B9">
        <w:t>For our analysis of the spillover effects, we employ a vector autoregression model with exogenous variables (VARX). This model allows introducing exogenous variables, which in this paper are ECB's monetary policy shocks. Hence, we assume that ECB's monetary policy decisions are not affected by domestic developments in four countries of our interest. This assumption is plausible given the relatively small size of these countries if compared to the euro area. The shocks are extracted using a high-frequency dataset of Altavilla et al. (2019</w:t>
      </w:r>
      <w:r w:rsidR="00FA3733">
        <w:t>b</w:t>
      </w:r>
      <w:r w:rsidRPr="00E748B9">
        <w:t>) and are used to capture the surprise component of the monetary policy decisions. More importantly, this dataset enables us to distinguish between shocks induced by different types of policies, which has not been done so far.</w:t>
      </w:r>
      <w:r w:rsidRPr="00E748B9">
        <w:rPr>
          <w:color w:val="C45911"/>
        </w:rPr>
        <w:t xml:space="preserve"> </w:t>
      </w:r>
      <w:r w:rsidRPr="00E748B9">
        <w:t xml:space="preserve">With regards to endogenous variables of our interest, the dataset consists of five variables, namely (a) </w:t>
      </w:r>
      <w:r>
        <w:t>short term m</w:t>
      </w:r>
      <w:r w:rsidRPr="00E748B9">
        <w:t xml:space="preserve">oney market interest rate, (b) </w:t>
      </w:r>
      <w:r>
        <w:t>c</w:t>
      </w:r>
      <w:r w:rsidRPr="00E748B9">
        <w:t xml:space="preserve">hange in GDP, (c) </w:t>
      </w:r>
      <w:r>
        <w:t>b</w:t>
      </w:r>
      <w:r w:rsidRPr="00E748B9">
        <w:t xml:space="preserve">ilateral exchange rate between EUR and local currencies of Romania, Hungary, Czech Republic, and Poland, (d) </w:t>
      </w:r>
      <w:r>
        <w:t>i</w:t>
      </w:r>
      <w:r w:rsidRPr="00E748B9">
        <w:t>nflation index -</w:t>
      </w:r>
      <w:r w:rsidR="00552B3E">
        <w:t xml:space="preserve"> </w:t>
      </w:r>
      <w:r w:rsidRPr="00E748B9">
        <w:t xml:space="preserve">HICP (Harmonized Index of Consumer Prices) and (e) </w:t>
      </w:r>
      <w:r>
        <w:t>s</w:t>
      </w:r>
      <w:r w:rsidRPr="00E748B9">
        <w:t xml:space="preserve">tock </w:t>
      </w:r>
      <w:r>
        <w:t>market r</w:t>
      </w:r>
      <w:r w:rsidRPr="00E748B9">
        <w:t>eturns</w:t>
      </w:r>
      <w:r>
        <w:t xml:space="preserve"> in the respective country</w:t>
      </w:r>
      <w:r w:rsidRPr="00E748B9">
        <w:t>.</w:t>
      </w:r>
    </w:p>
    <w:p w14:paraId="7416A9B6" w14:textId="72A12D8D" w:rsidR="00A918A2" w:rsidRPr="00ED74CA" w:rsidRDefault="00A918A2" w:rsidP="00ED74CA">
      <w:pPr>
        <w:spacing w:line="360" w:lineRule="auto"/>
        <w:ind w:firstLine="720"/>
        <w:rPr>
          <w:lang w:val="en-US"/>
        </w:rPr>
      </w:pPr>
      <w:r w:rsidRPr="00E748B9">
        <w:t>To sum up, our contribution with respect to the previous research is twofold. First, we introduce a distinction between the spillover effects of different types of ECB's monetary policy tools, rather than looking at monetary policy as a whole (e.g., in form of a shadow rate).</w:t>
      </w:r>
      <w:r w:rsidR="00552B3E">
        <w:t xml:space="preserve"> </w:t>
      </w:r>
      <w:r w:rsidR="00ED74CA" w:rsidRPr="00ED74CA">
        <w:t xml:space="preserve">Differentiating effects is important for future policy implementation as it will help to better understand the </w:t>
      </w:r>
      <w:r w:rsidR="00ED74CA">
        <w:t>implications as well as transmission channels</w:t>
      </w:r>
      <w:r w:rsidR="00ED74CA" w:rsidRPr="00ED74CA">
        <w:t xml:space="preserve"> of each policy</w:t>
      </w:r>
      <w:r w:rsidR="00ED74CA">
        <w:t xml:space="preserve">. </w:t>
      </w:r>
      <w:r w:rsidR="00ED74CA" w:rsidRPr="00ED74CA">
        <w:t>This understanding, in turn, will influence the choice of instrument when it becomes necessary to regulate economic activity in any particular way.</w:t>
      </w:r>
      <w:r w:rsidR="00ED74CA">
        <w:rPr>
          <w:lang w:val="en-US"/>
        </w:rPr>
        <w:t xml:space="preserve"> </w:t>
      </w:r>
      <w:r w:rsidRPr="00E748B9">
        <w:t>Second, our sample measures the spillover effects across all three major crises that afflicted European economies: the Global Financial crisis (GFC), the euro area sovereign debt crisis, and the Covid-19 crisis. The research question is formulated as follows:</w:t>
      </w:r>
    </w:p>
    <w:p w14:paraId="247999CA" w14:textId="77777777" w:rsidR="00A918A2" w:rsidRPr="00E748B9" w:rsidRDefault="00A918A2" w:rsidP="00A918A2">
      <w:pPr>
        <w:spacing w:before="240" w:after="240" w:line="360" w:lineRule="auto"/>
      </w:pPr>
      <w:r w:rsidRPr="00E748B9">
        <w:rPr>
          <w:b/>
        </w:rPr>
        <w:t>What are the spillover effects of ECB's unconventional monetary policy tools on the main macroeconomic variables in 4 non-euro area EU member states?</w:t>
      </w:r>
    </w:p>
    <w:p w14:paraId="680D98CC" w14:textId="48887ACB" w:rsidR="00A918A2" w:rsidRDefault="00A918A2" w:rsidP="000142C2">
      <w:pPr>
        <w:spacing w:line="360" w:lineRule="auto"/>
        <w:ind w:firstLine="720"/>
      </w:pPr>
      <w:r w:rsidRPr="008403AF">
        <w:t>The main results of the study are the following: Target and Timing shocks</w:t>
      </w:r>
      <w:r>
        <w:t xml:space="preserve"> (capturing short-term forward guidance effects)</w:t>
      </w:r>
      <w:r w:rsidRPr="008403AF">
        <w:t xml:space="preserve"> </w:t>
      </w:r>
      <w:r>
        <w:t xml:space="preserve">results in a </w:t>
      </w:r>
      <w:r w:rsidRPr="008403AF">
        <w:t xml:space="preserve">decline in GDP growth, while FG shock drives the output in the opposite direction. </w:t>
      </w:r>
      <w:r>
        <w:t xml:space="preserve">Hence short-term tightening in the euro area monetary policy seems to translate into lower growth in the </w:t>
      </w:r>
      <w:r w:rsidR="006E2D00">
        <w:t>neighbouring</w:t>
      </w:r>
      <w:r>
        <w:t xml:space="preserve"> CEE economies, possibly due to reduced foreign demand. In turn, </w:t>
      </w:r>
      <w:r>
        <w:lastRenderedPageBreak/>
        <w:t xml:space="preserve">tightening of monetary standards for longer maturities result in higher growth which might be caused by relative price adjustment. </w:t>
      </w:r>
      <w:r w:rsidRPr="008403AF">
        <w:t>Inflation and stock price</w:t>
      </w:r>
      <w:r>
        <w:t xml:space="preserve"> reaction </w:t>
      </w:r>
      <w:r w:rsidRPr="008403AF">
        <w:t xml:space="preserve">are found to </w:t>
      </w:r>
      <w:r>
        <w:t>be rather</w:t>
      </w:r>
      <w:r w:rsidRPr="008403AF">
        <w:t xml:space="preserve"> ambiguous.</w:t>
      </w:r>
    </w:p>
    <w:p w14:paraId="11652A99" w14:textId="4B6AB988" w:rsidR="00A918A2" w:rsidRDefault="00A918A2" w:rsidP="000142C2">
      <w:pPr>
        <w:spacing w:line="360" w:lineRule="auto"/>
        <w:ind w:firstLine="720"/>
      </w:pPr>
      <w:r w:rsidRPr="00E748B9">
        <w:t>This paper is structured in the following way. In the first section, we provide a description of the main concepts related to our study as well as empirical evidence from the existing research. The second section describes the methodological framework along with the data that we use for our analysis. In the third section, we present the main results. The last section concludes and discusses the limitations of our study.</w:t>
      </w:r>
    </w:p>
    <w:p w14:paraId="1EFC1C87" w14:textId="3EF27A17" w:rsidR="00E85038" w:rsidRPr="00042406" w:rsidRDefault="002E28DD" w:rsidP="00042406">
      <w:pPr>
        <w:pStyle w:val="Heading1"/>
        <w:jc w:val="center"/>
        <w:rPr>
          <w:i/>
          <w:iCs/>
        </w:rPr>
      </w:pPr>
      <w:bookmarkStart w:id="11" w:name="_Toc268437079"/>
      <w:bookmarkStart w:id="12" w:name="_Toc371588563"/>
      <w:bookmarkEnd w:id="10"/>
      <w:r w:rsidRPr="00E85038">
        <w:rPr>
          <w:i/>
          <w:iCs/>
        </w:rPr>
        <w:t xml:space="preserve"> </w:t>
      </w:r>
      <w:bookmarkStart w:id="13" w:name="_Toc99919330"/>
      <w:r w:rsidR="00E85038" w:rsidRPr="00B444F1">
        <w:rPr>
          <w:i/>
          <w:iCs/>
          <w:lang w:val="en-US"/>
        </w:rPr>
        <w:t xml:space="preserve">2. </w:t>
      </w:r>
      <w:r w:rsidR="000C6BED" w:rsidRPr="00E85038">
        <w:rPr>
          <w:i/>
          <w:iCs/>
        </w:rPr>
        <w:t>Literature</w:t>
      </w:r>
      <w:bookmarkEnd w:id="11"/>
      <w:r w:rsidR="00FE038B" w:rsidRPr="00E85038">
        <w:rPr>
          <w:i/>
          <w:iCs/>
        </w:rPr>
        <w:t xml:space="preserve"> review</w:t>
      </w:r>
      <w:bookmarkStart w:id="14" w:name="_Toc268437080"/>
      <w:bookmarkEnd w:id="12"/>
      <w:bookmarkEnd w:id="13"/>
    </w:p>
    <w:p w14:paraId="6F212E8A" w14:textId="0E33F8CA" w:rsidR="00DC1244" w:rsidRPr="00B444F1" w:rsidRDefault="00042406" w:rsidP="00B444F1">
      <w:pPr>
        <w:pStyle w:val="Heading2"/>
        <w:rPr>
          <w:i w:val="0"/>
          <w:iCs w:val="0"/>
        </w:rPr>
      </w:pPr>
      <w:bookmarkStart w:id="15" w:name="_Toc99919331"/>
      <w:r w:rsidRPr="00B444F1">
        <w:rPr>
          <w:i w:val="0"/>
          <w:iCs w:val="0"/>
        </w:rPr>
        <w:t xml:space="preserve">2.1 </w:t>
      </w:r>
      <w:r w:rsidR="00DC1244" w:rsidRPr="00B444F1">
        <w:rPr>
          <w:i w:val="0"/>
          <w:iCs w:val="0"/>
        </w:rPr>
        <w:t xml:space="preserve">Monetary policy </w:t>
      </w:r>
      <w:proofErr w:type="spellStart"/>
      <w:r w:rsidR="00DC1244" w:rsidRPr="00B444F1">
        <w:rPr>
          <w:i w:val="0"/>
          <w:iCs w:val="0"/>
        </w:rPr>
        <w:t>spillovers</w:t>
      </w:r>
      <w:proofErr w:type="spellEnd"/>
      <w:r w:rsidR="00DC1244" w:rsidRPr="00B444F1">
        <w:rPr>
          <w:i w:val="0"/>
          <w:iCs w:val="0"/>
        </w:rPr>
        <w:t>: theoretical considerations</w:t>
      </w:r>
      <w:bookmarkEnd w:id="15"/>
    </w:p>
    <w:p w14:paraId="61BCD176" w14:textId="77777777" w:rsidR="00DF25D9" w:rsidRPr="00DF25D9" w:rsidRDefault="00DF25D9" w:rsidP="00DF25D9">
      <w:pPr>
        <w:spacing w:line="360" w:lineRule="auto"/>
        <w:ind w:firstLine="720"/>
        <w:rPr>
          <w:lang w:val="en"/>
        </w:rPr>
      </w:pPr>
      <w:r w:rsidRPr="00DF25D9">
        <w:rPr>
          <w:lang w:val="en"/>
        </w:rPr>
        <w:t xml:space="preserve">In today’s world where the global economy is tightly intertwined by trade relations, monetary policy is no longer limited to the domestic economy, meaning it can have certain effects abroad. The mechanisms that explain how policy in one country can affect the economic or financial sector of another country are called transmission channels, the first examinations of which date back to the middle of the twentieth century. One popular example of such a study would be the model proposed by Marcus Fleming and Robert Mundell in the 1960s, which was essentially an extended version of the Keynesian open-economy model (Boughton, 2002). According to the Mundell-Fleming framework, a loosening monetary policy, expressed in lower interest rates, induces a positive effect on the output of the country pursuing the policy and leads to the depreciation of its currency. In more detail, decreased interest rates transmit into cheap borrowing for businesses and individuals, thereby facilitating their spending in the economy as well as effectively increasing the money supply. </w:t>
      </w:r>
    </w:p>
    <w:p w14:paraId="23BC88F7" w14:textId="77777777" w:rsidR="00DF25D9" w:rsidRPr="00DF25D9" w:rsidRDefault="00DF25D9" w:rsidP="00DF25D9">
      <w:pPr>
        <w:spacing w:line="360" w:lineRule="auto"/>
        <w:ind w:firstLine="720"/>
        <w:rPr>
          <w:lang w:val="en"/>
        </w:rPr>
      </w:pPr>
      <w:r w:rsidRPr="00DF25D9">
        <w:rPr>
          <w:lang w:val="en"/>
        </w:rPr>
        <w:t xml:space="preserve">At the same time, two offsetting effects follow in foreign economies. The positive impact stems from the increased demand for external goods, in other words, foreign country exports, which is caused by expanded domestic output. The negative impact, in turn, is associated with the changes in the exchange rate. The exchange rate </w:t>
      </w:r>
      <w:r w:rsidRPr="00DF25D9">
        <w:rPr>
          <w:i/>
          <w:lang w:val="en"/>
        </w:rPr>
        <w:t>per se</w:t>
      </w:r>
      <w:r w:rsidRPr="00DF25D9">
        <w:rPr>
          <w:lang w:val="en"/>
        </w:rPr>
        <w:t xml:space="preserve"> is the relative price of one currency to another, thus if the rate changes, the relative prices of goods and services change as well. It follows that the depreciation of the home currency is transmitted into reduced prices for its goods and services compared to similar goods produced abroad. This makes domestic goods more attractive both in the local and foreign markets, resulting in a worsening of the foreign </w:t>
      </w:r>
      <w:r w:rsidRPr="00DF25D9">
        <w:rPr>
          <w:lang w:val="en"/>
        </w:rPr>
        <w:lastRenderedPageBreak/>
        <w:t xml:space="preserve">trade balance and, accordingly, foreign output. The theory, however, is inconclusive about the net impact on the foreign economy, arguing that it depends on which of the two effects will be superior (Mundell, 1963). </w:t>
      </w:r>
    </w:p>
    <w:p w14:paraId="12DF3131" w14:textId="77777777" w:rsidR="00DF25D9" w:rsidRPr="00DF25D9" w:rsidRDefault="00DF25D9" w:rsidP="00DF25D9">
      <w:pPr>
        <w:spacing w:line="360" w:lineRule="auto"/>
        <w:ind w:firstLine="720"/>
        <w:rPr>
          <w:lang w:val="en"/>
        </w:rPr>
      </w:pPr>
      <w:r w:rsidRPr="00DF25D9">
        <w:rPr>
          <w:lang w:val="en"/>
        </w:rPr>
        <w:t>Dornbusch (1976) later provided an essential extension to the Mundell-Fleming model, the baseline idea of which is that changes in assets, exchange rate included, can occur even before the monetary policy is implemented. This happens because financial markets are forward-looking and can change asset prices relying only on their expectations of future monetary policy.</w:t>
      </w:r>
    </w:p>
    <w:p w14:paraId="176EE6E4" w14:textId="77777777" w:rsidR="00DF25D9" w:rsidRPr="00DF25D9" w:rsidRDefault="00DF25D9" w:rsidP="00DF25D9">
      <w:pPr>
        <w:spacing w:line="360" w:lineRule="auto"/>
        <w:ind w:firstLine="720"/>
        <w:rPr>
          <w:lang w:val="en"/>
        </w:rPr>
      </w:pPr>
      <w:r w:rsidRPr="00DF25D9">
        <w:rPr>
          <w:lang w:val="en"/>
        </w:rPr>
        <w:t xml:space="preserve">            Another more recent macroeconomic model that explores the mechanisms of cross-border effects was developed by </w:t>
      </w:r>
      <w:proofErr w:type="spellStart"/>
      <w:r w:rsidRPr="00DF25D9">
        <w:rPr>
          <w:lang w:val="en"/>
        </w:rPr>
        <w:t>Corsetti</w:t>
      </w:r>
      <w:proofErr w:type="spellEnd"/>
      <w:r w:rsidRPr="00DF25D9">
        <w:rPr>
          <w:lang w:val="en"/>
        </w:rPr>
        <w:t xml:space="preserve"> and </w:t>
      </w:r>
      <w:proofErr w:type="spellStart"/>
      <w:r w:rsidRPr="00DF25D9">
        <w:rPr>
          <w:lang w:val="en"/>
        </w:rPr>
        <w:t>Pesenti</w:t>
      </w:r>
      <w:proofErr w:type="spellEnd"/>
      <w:r w:rsidRPr="00DF25D9">
        <w:rPr>
          <w:lang w:val="en"/>
        </w:rPr>
        <w:t xml:space="preserve"> (2001). In accordance with the model export-pricing paradigms (i.e., producer currency pricing (PCP) versus local currency pricing (LCP)) </w:t>
      </w:r>
      <w:proofErr w:type="gramStart"/>
      <w:r w:rsidRPr="00DF25D9">
        <w:rPr>
          <w:lang w:val="en"/>
        </w:rPr>
        <w:t>pose</w:t>
      </w:r>
      <w:proofErr w:type="gramEnd"/>
      <w:r w:rsidRPr="00DF25D9">
        <w:rPr>
          <w:lang w:val="en"/>
        </w:rPr>
        <w:t xml:space="preserve"> different implications for monetary policy spillovers. For example, if both home and foreign exporting firms follow PCP, then the depreciation of home currency will decrease the foreign-currency price of home exported goods (i.e., foreign imports), whereas the foreign-currency price of foreign exported goods (i.e., home imports) will be unchanged. This means that the depreciation of the national currency caused by the expansionary monetary policy in the country of origin reduces the domestic trade balance, while the foreign trade balance improves. The opposite effect will be achieved if home and foreign exporting firms decide to adopt local currency pricing (LCP) since the depreciation of the domestic currency, in this case, will result in the diminished foreign-currency price of exports with no changes in foreign-currency prices of imports. The effect, however, is unclear if some firms follow LCP, while others – PCP.</w:t>
      </w:r>
    </w:p>
    <w:p w14:paraId="149C7440" w14:textId="77777777" w:rsidR="00DF25D9" w:rsidRPr="005922B2" w:rsidRDefault="00DF25D9" w:rsidP="00DF25D9">
      <w:pPr>
        <w:spacing w:line="360" w:lineRule="auto"/>
        <w:ind w:firstLine="720"/>
        <w:rPr>
          <w:lang w:val="en"/>
        </w:rPr>
      </w:pPr>
      <w:r w:rsidRPr="00DF25D9">
        <w:rPr>
          <w:lang w:val="en"/>
        </w:rPr>
        <w:t xml:space="preserve">These models have laid a solid foundation for further reviews of transmission mechanisms, which can be summarized by three main channels, namely </w:t>
      </w:r>
      <w:r w:rsidRPr="00DF25D9">
        <w:rPr>
          <w:i/>
          <w:lang w:val="en"/>
        </w:rPr>
        <w:t xml:space="preserve">the exchange rate channel, the aggregate demand channel, and the financial channel </w:t>
      </w:r>
      <w:r w:rsidRPr="00DF25D9">
        <w:rPr>
          <w:lang w:val="en"/>
        </w:rPr>
        <w:t>(</w:t>
      </w:r>
      <w:proofErr w:type="spellStart"/>
      <w:r w:rsidRPr="00DF25D9">
        <w:rPr>
          <w:lang w:val="en"/>
        </w:rPr>
        <w:t>Ammer</w:t>
      </w:r>
      <w:proofErr w:type="spellEnd"/>
      <w:r w:rsidRPr="00DF25D9">
        <w:rPr>
          <w:lang w:val="en"/>
        </w:rPr>
        <w:t xml:space="preserve"> et al., 2016). The first transmission mechanism is largely based on the Mundell-Fleming framework, where changes in relative prices for currencies translate into changes in the relative prices of goods and services. Therefore, through this channel, the demand for imports and exports changes in both home and foreign countries, eventually influencing the trade balance as well as aggregate demand. In the Czech Republic, Hungary, Poland, and Romania, which have abandoned exchange rate control in favor of interest rate controls, the exchange rate is determined by domestic and foreign interest rates, as well as expectations about the future exchange rate. For example, if the ECB tightens </w:t>
      </w:r>
      <w:r w:rsidRPr="00DF25D9">
        <w:rPr>
          <w:lang w:val="en"/>
        </w:rPr>
        <w:lastRenderedPageBreak/>
        <w:t xml:space="preserve">monetary policy, higher interest rates will </w:t>
      </w:r>
      <w:r w:rsidRPr="005922B2">
        <w:rPr>
          <w:lang w:val="en"/>
        </w:rPr>
        <w:t>provide creditors with higher returns than before, so investors will shift some of their funds from the other CEE countries to the euro area. This will cause an appreciation of the euro. At the same time, the ECB contractionary monetary policy will deteriorate euro area activity, and therefore negatively affect domestic demand due to changes in imports and exports. In 2020 intra-EU trade accounted for 80% of Czech exports, 78% of Hungarian exports, 74% of Polish exports, and 74% of Romanian exports, while imports coming from EU deemed 73% of Czech imports, 71% of Hungarian imports, 67% of Polish, and 74% of Romanian imports (European Union, n.d.). These statistics demonstrated the relevance of the aggregate demand transmission channel for the respective countries.</w:t>
      </w:r>
    </w:p>
    <w:p w14:paraId="5124704C" w14:textId="77777777" w:rsidR="00DF25D9" w:rsidRPr="005922B2" w:rsidRDefault="00DF25D9" w:rsidP="00DF25D9">
      <w:pPr>
        <w:spacing w:line="360" w:lineRule="auto"/>
        <w:ind w:firstLine="720"/>
        <w:rPr>
          <w:lang w:val="en"/>
        </w:rPr>
      </w:pPr>
      <w:r w:rsidRPr="005922B2">
        <w:rPr>
          <w:lang w:val="en"/>
        </w:rPr>
        <w:t>In addition to the development of trade relations around the globe, many deregulations have been carried out over the past decades, which have improved the coordination of financial markets (</w:t>
      </w:r>
      <w:proofErr w:type="spellStart"/>
      <w:r w:rsidRPr="005922B2">
        <w:rPr>
          <w:lang w:val="en"/>
        </w:rPr>
        <w:t>Issing</w:t>
      </w:r>
      <w:proofErr w:type="spellEnd"/>
      <w:r w:rsidRPr="005922B2">
        <w:rPr>
          <w:lang w:val="en"/>
        </w:rPr>
        <w:t xml:space="preserve">, 2000). Thanks to this, today investors can easily acquire assets abroad, which, in turn, resulted in one more transmission mechanism, namely the finance channel. When purchasing foreign assets or liabilities, investors are allowed to hold them in the respective currency. One of the most striking examples of foreign liabilities is external debt (debt denominated in a foreign currency), which is an important factor for the observed countries, averaging about 90% of a countries’ GDP (Beckmann, </w:t>
      </w:r>
      <w:proofErr w:type="spellStart"/>
      <w:r w:rsidRPr="005922B2">
        <w:rPr>
          <w:lang w:val="en"/>
        </w:rPr>
        <w:t>Scheiber</w:t>
      </w:r>
      <w:proofErr w:type="spellEnd"/>
      <w:r w:rsidRPr="005922B2">
        <w:rPr>
          <w:lang w:val="en"/>
        </w:rPr>
        <w:t xml:space="preserve"> and Stix, 2011; CEIC, 2022). The existence of this debt makes them more vulnerable to the policy of the region whose currency prevails there. In more detail, if there is a loosening monetary policy in that region, domestic investors will be worse off due to the decline in the value of the bonds they hold (</w:t>
      </w:r>
      <w:proofErr w:type="spellStart"/>
      <w:r w:rsidRPr="005922B2">
        <w:rPr>
          <w:lang w:val="en"/>
        </w:rPr>
        <w:t>Altavilla</w:t>
      </w:r>
      <w:proofErr w:type="spellEnd"/>
      <w:r w:rsidRPr="005922B2">
        <w:rPr>
          <w:lang w:val="en"/>
        </w:rPr>
        <w:t xml:space="preserve"> et al., 2021). In parallel, the same policy leads to the appreciation of the domestic currency, resulting in the drop in the value of foreign assets denominated in the domestic currency. Even little fluctuations in asset values might force investors, especially those with high leverage, to exit their positions. Thus, in case these investors accounted for a considerable portion of domestic lending, their abandoned positions will be a key source of the foreign spillover to the domestic economy (Ca' </w:t>
      </w:r>
      <w:proofErr w:type="spellStart"/>
      <w:r w:rsidRPr="005922B2">
        <w:rPr>
          <w:lang w:val="en"/>
        </w:rPr>
        <w:t>Zorzi</w:t>
      </w:r>
      <w:proofErr w:type="spellEnd"/>
      <w:r w:rsidRPr="005922B2">
        <w:rPr>
          <w:lang w:val="en"/>
        </w:rPr>
        <w:t xml:space="preserve"> et al., 2020). </w:t>
      </w:r>
    </w:p>
    <w:p w14:paraId="7DF50486" w14:textId="77777777" w:rsidR="00DF25D9" w:rsidRPr="005922B2" w:rsidRDefault="00DF25D9" w:rsidP="00DF25D9">
      <w:pPr>
        <w:spacing w:line="360" w:lineRule="auto"/>
        <w:ind w:firstLine="720"/>
        <w:rPr>
          <w:lang w:val="en"/>
        </w:rPr>
      </w:pPr>
      <w:r w:rsidRPr="005922B2">
        <w:rPr>
          <w:lang w:val="en"/>
        </w:rPr>
        <w:t xml:space="preserve">Another way foreign monetary policy can transmit to the domestic economy is through credit spreads. Given the free trade of assets across countries, investors expect to earn the same returns on the same investment. Moreover, they also want the return on both domestic and foreign assets to equal the cost of raising funds in the home economy. Altogether, arbitrage forces will lead these returns along with borrowing costs </w:t>
      </w:r>
      <w:r w:rsidRPr="005922B2">
        <w:rPr>
          <w:lang w:val="en"/>
        </w:rPr>
        <w:lastRenderedPageBreak/>
        <w:t xml:space="preserve">to equalize, causing the credit spread to converge. As a result, a contractionary monetary policy abroad will increase not only foreign credit spreads but also domestic ones (Ca' </w:t>
      </w:r>
      <w:proofErr w:type="spellStart"/>
      <w:r w:rsidRPr="005922B2">
        <w:rPr>
          <w:lang w:val="en"/>
        </w:rPr>
        <w:t>Zorzi</w:t>
      </w:r>
      <w:proofErr w:type="spellEnd"/>
      <w:r w:rsidRPr="005922B2">
        <w:rPr>
          <w:lang w:val="en"/>
        </w:rPr>
        <w:t xml:space="preserve"> et al., 2020). The co-movement, in turn, will affect other financial factors like asset prices, capital flows, etc. (</w:t>
      </w:r>
      <w:proofErr w:type="spellStart"/>
      <w:r w:rsidRPr="005922B2">
        <w:rPr>
          <w:lang w:val="en"/>
        </w:rPr>
        <w:t>Debola</w:t>
      </w:r>
      <w:proofErr w:type="spellEnd"/>
      <w:r w:rsidRPr="005922B2">
        <w:rPr>
          <w:lang w:val="en"/>
        </w:rPr>
        <w:t xml:space="preserve"> and Lombardo, 2015). </w:t>
      </w:r>
    </w:p>
    <w:p w14:paraId="3BBB7E9E" w14:textId="77777777" w:rsidR="00DF25D9" w:rsidRPr="005922B2" w:rsidRDefault="00DF25D9" w:rsidP="00DF25D9">
      <w:pPr>
        <w:spacing w:line="360" w:lineRule="auto"/>
        <w:ind w:firstLine="720"/>
        <w:rPr>
          <w:lang w:val="en-US"/>
        </w:rPr>
      </w:pPr>
      <w:r w:rsidRPr="005922B2">
        <w:rPr>
          <w:lang w:val="en"/>
        </w:rPr>
        <w:t>One more important transmission channel found in the literature about the ECB policy spillovers is signaling channel. This channel is associated with the investors’ expectations formed by the policy announcements, whereas the expectations are set based on the perception of future macroeconomic stance as well as anticipated future policy. For example, a tightening monetary policy can signal that the economy is doing well and will continue to do so in the future. This might lead financial market participants to anticipate even better economic stance in the future, which in turn can appreciate their currency (Bauer and Rudebusch, 2014).</w:t>
      </w:r>
    </w:p>
    <w:p w14:paraId="74B72FA5" w14:textId="0060AA16" w:rsidR="00DC1244" w:rsidRPr="005922B2" w:rsidRDefault="00DF25D9" w:rsidP="005922B2">
      <w:pPr>
        <w:spacing w:line="360" w:lineRule="auto"/>
        <w:ind w:firstLine="720"/>
        <w:rPr>
          <w:lang w:val="en"/>
        </w:rPr>
      </w:pPr>
      <w:r w:rsidRPr="005922B2">
        <w:rPr>
          <w:lang w:val="en"/>
        </w:rPr>
        <w:t xml:space="preserve">However, </w:t>
      </w:r>
      <w:proofErr w:type="spellStart"/>
      <w:r w:rsidRPr="005922B2">
        <w:rPr>
          <w:lang w:val="en"/>
        </w:rPr>
        <w:t>Cecchetti</w:t>
      </w:r>
      <w:proofErr w:type="spellEnd"/>
      <w:r w:rsidRPr="005922B2">
        <w:rPr>
          <w:lang w:val="en"/>
        </w:rPr>
        <w:t xml:space="preserve"> (1999) claimed that transmission channels and their role differ across the countries since they are dependent on specifics of each economy such as, for example, financial market structure. Kearns et al. (2020) tried to identify the most effective determinants of cross-border effects of interest rates. The authors found evidence for exchange rate channels having an impact on the size of spillovers, however, they claimed that the extent of cross-border effects is mostly influenced by the financial openness of economies. Their analysis has demonstrated that the stronger the financial link is between the country and the Eurozone and/or the US, the more vulnerable they are to spillover effects imposed by changes in interest rates. The authors also highlighted two macroeconomic factors, which best describe the financial openness in their analysis: foreign currency debt held either in US dollars or EUR, and two-sided flows of equities from the Euro Area and/or the US.</w:t>
      </w:r>
    </w:p>
    <w:p w14:paraId="32ABC667" w14:textId="67297784" w:rsidR="00DC1244" w:rsidRPr="005922B2" w:rsidRDefault="00042406" w:rsidP="00B444F1">
      <w:pPr>
        <w:pStyle w:val="Heading2"/>
        <w:rPr>
          <w:i w:val="0"/>
          <w:iCs w:val="0"/>
        </w:rPr>
      </w:pPr>
      <w:bookmarkStart w:id="16" w:name="_Toc99919332"/>
      <w:r w:rsidRPr="005922B2">
        <w:rPr>
          <w:i w:val="0"/>
          <w:iCs w:val="0"/>
        </w:rPr>
        <w:t xml:space="preserve">2.2 </w:t>
      </w:r>
      <w:r w:rsidR="00DC1244" w:rsidRPr="005922B2">
        <w:rPr>
          <w:i w:val="0"/>
          <w:iCs w:val="0"/>
        </w:rPr>
        <w:t xml:space="preserve">Conventional monetary policy </w:t>
      </w:r>
      <w:proofErr w:type="spellStart"/>
      <w:r w:rsidR="00DC1244" w:rsidRPr="005922B2">
        <w:rPr>
          <w:i w:val="0"/>
          <w:iCs w:val="0"/>
        </w:rPr>
        <w:t>spillovers</w:t>
      </w:r>
      <w:proofErr w:type="spellEnd"/>
      <w:r w:rsidR="00DC1244" w:rsidRPr="005922B2">
        <w:rPr>
          <w:i w:val="0"/>
          <w:iCs w:val="0"/>
        </w:rPr>
        <w:t>: empirical evidence</w:t>
      </w:r>
      <w:bookmarkEnd w:id="16"/>
    </w:p>
    <w:p w14:paraId="74E3C47E" w14:textId="0C56FE26" w:rsidR="00DF25D9" w:rsidRPr="005922B2" w:rsidRDefault="00DF25D9" w:rsidP="00DF25D9">
      <w:pPr>
        <w:spacing w:line="360" w:lineRule="auto"/>
        <w:ind w:firstLine="720"/>
        <w:rPr>
          <w:lang w:val="en"/>
        </w:rPr>
      </w:pPr>
      <w:r w:rsidRPr="005922B2">
        <w:rPr>
          <w:lang w:val="en"/>
        </w:rPr>
        <w:t xml:space="preserve">Over the past few decades, there have been many studies that have attempted to assess the cross-border effects generated by the conventional monetary policy of large central banks. </w:t>
      </w:r>
      <w:r w:rsidR="005922B2">
        <w:rPr>
          <w:lang w:val="en"/>
        </w:rPr>
        <w:t xml:space="preserve">(Table 1) </w:t>
      </w:r>
      <w:r w:rsidRPr="005922B2">
        <w:rPr>
          <w:lang w:val="en"/>
        </w:rPr>
        <w:t>Initially, the vast majority of this literature focused on the US Federal Reserve (FED) induced spillovers and their transmission channels, largely due to the longer time series available for this area, which is of great importance for the empirical analysis of any monetary policy instruments (</w:t>
      </w:r>
      <w:proofErr w:type="spellStart"/>
      <w:r w:rsidRPr="005922B2">
        <w:rPr>
          <w:lang w:val="en"/>
        </w:rPr>
        <w:t>Benkovskis</w:t>
      </w:r>
      <w:proofErr w:type="spellEnd"/>
      <w:r w:rsidRPr="005922B2">
        <w:rPr>
          <w:lang w:val="en"/>
        </w:rPr>
        <w:t xml:space="preserve"> et al., 2011). Predominantly, the US findings appear to be consistent with the theory discussed earlier in this paper. The results indicate that an expansionary FED policy in the face of </w:t>
      </w:r>
      <w:r w:rsidRPr="005922B2">
        <w:rPr>
          <w:lang w:val="en"/>
        </w:rPr>
        <w:lastRenderedPageBreak/>
        <w:t>decreased interest rates encourages output growth abroad along with the appreciation of its currency (Kim, 2001), the strongest responses being observed in the emerging economies with floating exchange rate regimes (</w:t>
      </w:r>
      <w:proofErr w:type="spellStart"/>
      <w:r w:rsidRPr="005922B2">
        <w:rPr>
          <w:lang w:val="en"/>
        </w:rPr>
        <w:t>Dedola</w:t>
      </w:r>
      <w:proofErr w:type="spellEnd"/>
      <w:r w:rsidRPr="005922B2">
        <w:rPr>
          <w:lang w:val="en"/>
        </w:rPr>
        <w:t xml:space="preserve"> et al., 2015). </w:t>
      </w:r>
    </w:p>
    <w:p w14:paraId="60F61DFE" w14:textId="77777777" w:rsidR="00DF25D9" w:rsidRPr="005922B2" w:rsidRDefault="00DF25D9" w:rsidP="00DF25D9">
      <w:pPr>
        <w:spacing w:line="360" w:lineRule="auto"/>
        <w:ind w:firstLine="720"/>
        <w:rPr>
          <w:lang w:val="en"/>
        </w:rPr>
      </w:pPr>
      <w:r w:rsidRPr="005922B2">
        <w:rPr>
          <w:lang w:val="en"/>
        </w:rPr>
        <w:t xml:space="preserve">A very similar conclusion has been reached in the literature on the impact of ECB’s monetary policy on non-euro area EU member states, where the output response was found to be fairly uniform across all states. Asymmetry was discovered in the reaction of such macroeconomic indicators as prices, unemployment, and exchange rates (Boivin er al., 2008; </w:t>
      </w:r>
      <w:proofErr w:type="spellStart"/>
      <w:r w:rsidRPr="005922B2">
        <w:rPr>
          <w:lang w:val="en"/>
        </w:rPr>
        <w:t>Barigozzi</w:t>
      </w:r>
      <w:proofErr w:type="spellEnd"/>
      <w:r w:rsidRPr="005922B2">
        <w:rPr>
          <w:lang w:val="en"/>
        </w:rPr>
        <w:t xml:space="preserve"> et al., 2014). For example, </w:t>
      </w:r>
      <w:proofErr w:type="spellStart"/>
      <w:r w:rsidRPr="005922B2">
        <w:rPr>
          <w:lang w:val="en"/>
        </w:rPr>
        <w:t>Benkovskis</w:t>
      </w:r>
      <w:proofErr w:type="spellEnd"/>
      <w:r w:rsidRPr="005922B2">
        <w:rPr>
          <w:lang w:val="en"/>
        </w:rPr>
        <w:t xml:space="preserve"> et al. (2011) utilized an open economy version of FAVAR model to investigate spillover effects of ECB’s contractionary monetary policy on the Czech Republic, Poland, and Hungary</w:t>
      </w:r>
      <w:r w:rsidRPr="005922B2">
        <w:rPr>
          <w:lang w:val="ro-RO"/>
        </w:rPr>
        <w:t>. I</w:t>
      </w:r>
      <w:r w:rsidRPr="005922B2">
        <w:rPr>
          <w:lang w:val="en"/>
        </w:rPr>
        <w:t>n their research of the ECB policy effects on the CEE states found that a tightening policy, represented by an unexpected 50 basis point increase in the 3-month EURIBOR, leads to the depreciation of the CEE currencies as well as rising prices in that area. Results opposite to these have been detected by Jiménez-Rodriguez, Morales-</w:t>
      </w:r>
      <w:proofErr w:type="spellStart"/>
      <w:r w:rsidRPr="005922B2">
        <w:rPr>
          <w:lang w:val="en"/>
        </w:rPr>
        <w:t>Zumaquero</w:t>
      </w:r>
      <w:proofErr w:type="spellEnd"/>
      <w:r w:rsidRPr="005922B2">
        <w:rPr>
          <w:lang w:val="en"/>
        </w:rPr>
        <w:t xml:space="preserve"> and </w:t>
      </w:r>
      <w:proofErr w:type="spellStart"/>
      <w:r w:rsidRPr="005922B2">
        <w:rPr>
          <w:lang w:val="en"/>
        </w:rPr>
        <w:t>Égert</w:t>
      </w:r>
      <w:proofErr w:type="spellEnd"/>
      <w:r w:rsidRPr="005922B2">
        <w:rPr>
          <w:lang w:val="en"/>
        </w:rPr>
        <w:t xml:space="preserve"> (2010), according to which there is a negative reaction of prices to ECB contractionary policy in the respective countries. The authors also claim that impact on exchange rates and interest rates differ between states. With regard to the transmission channels for these effects, of all the previously described channels, special attention has been paid to the financial channel, which, according to many studies, is the main one in the context of the EU countries (Bernanke et al., 1995; </w:t>
      </w:r>
      <w:proofErr w:type="spellStart"/>
      <w:r w:rsidRPr="005922B2">
        <w:rPr>
          <w:lang w:val="en"/>
        </w:rPr>
        <w:t>Gali</w:t>
      </w:r>
      <w:proofErr w:type="spellEnd"/>
      <w:r w:rsidRPr="005922B2">
        <w:rPr>
          <w:lang w:val="en"/>
        </w:rPr>
        <w:t xml:space="preserve"> et al., 2005).</w:t>
      </w:r>
    </w:p>
    <w:p w14:paraId="5CE97BCD" w14:textId="77777777" w:rsidR="00DF25D9" w:rsidRPr="00DF25D9" w:rsidRDefault="00DF25D9" w:rsidP="00DF25D9">
      <w:pPr>
        <w:spacing w:line="360" w:lineRule="auto"/>
        <w:ind w:firstLine="720"/>
        <w:rPr>
          <w:lang w:val="en"/>
        </w:rPr>
      </w:pPr>
      <w:r w:rsidRPr="005922B2">
        <w:rPr>
          <w:lang w:val="en"/>
        </w:rPr>
        <w:t xml:space="preserve">Similarly, </w:t>
      </w:r>
      <w:proofErr w:type="spellStart"/>
      <w:r w:rsidRPr="005922B2">
        <w:rPr>
          <w:lang w:val="en"/>
        </w:rPr>
        <w:t>Potjagailo</w:t>
      </w:r>
      <w:proofErr w:type="spellEnd"/>
      <w:r w:rsidRPr="005922B2">
        <w:rPr>
          <w:lang w:val="en"/>
        </w:rPr>
        <w:t xml:space="preserve"> (2017) investigated the cross-border effects from ECB monetary policy shocks transmitted to fourteen non-EMU countries using a factor-augmented VAR model. The author has observed not only a general decrease in interest rates but a twice bigger decline in the short-term compared to the long-term rates, as a result of the expansionary policies of the ECB. The size of the effects, as stated by the author, is dependent mainly on financial integration (the higher it is the stronger the effect) and exchange rate regime (countries with fixed exchange rate regimes</w:t>
      </w:r>
      <w:r w:rsidRPr="00DF25D9">
        <w:rPr>
          <w:lang w:val="en"/>
        </w:rPr>
        <w:t xml:space="preserve"> experienced stronger spillover effects). </w:t>
      </w:r>
    </w:p>
    <w:p w14:paraId="043F6236" w14:textId="77777777" w:rsidR="00DF25D9" w:rsidRDefault="00DF25D9" w:rsidP="00DF25D9">
      <w:pPr>
        <w:spacing w:line="360" w:lineRule="auto"/>
        <w:ind w:firstLine="720"/>
        <w:rPr>
          <w:lang w:val="en"/>
        </w:rPr>
      </w:pPr>
      <w:r w:rsidRPr="00DF25D9">
        <w:rPr>
          <w:lang w:val="en"/>
        </w:rPr>
        <w:t xml:space="preserve">            In general, empirical studies suggest that ECB conventional monetary policy results in a homogeneous response of the output in EU countries, whereas the results for inflation, exchange rate and interest rates vary across the states. </w:t>
      </w:r>
    </w:p>
    <w:p w14:paraId="015556C6" w14:textId="594DCF6A" w:rsidR="005922B2" w:rsidRDefault="005922B2" w:rsidP="00DF25D9">
      <w:pPr>
        <w:spacing w:line="360" w:lineRule="auto"/>
        <w:ind w:firstLine="720"/>
        <w:rPr>
          <w:lang w:val="en"/>
        </w:rPr>
      </w:pPr>
    </w:p>
    <w:p w14:paraId="191AF771" w14:textId="77777777" w:rsidR="005922B2" w:rsidRDefault="005922B2" w:rsidP="00DF25D9">
      <w:pPr>
        <w:spacing w:line="360" w:lineRule="auto"/>
        <w:ind w:firstLine="720"/>
        <w:rPr>
          <w:lang w:val="en"/>
        </w:rPr>
      </w:pPr>
    </w:p>
    <w:p w14:paraId="7719F2FB" w14:textId="398B8630" w:rsidR="005922B2" w:rsidRDefault="005922B2" w:rsidP="00DF25D9">
      <w:pPr>
        <w:spacing w:line="360" w:lineRule="auto"/>
        <w:ind w:firstLine="720"/>
        <w:rPr>
          <w:lang w:val="en"/>
        </w:rPr>
      </w:pPr>
    </w:p>
    <w:p w14:paraId="38A7B4C8" w14:textId="14CF323A" w:rsidR="005922B2" w:rsidRDefault="005922B2" w:rsidP="00DF25D9">
      <w:pPr>
        <w:spacing w:line="360" w:lineRule="auto"/>
        <w:ind w:firstLine="720"/>
        <w:rPr>
          <w:lang w:val="en"/>
        </w:rPr>
      </w:pPr>
    </w:p>
    <w:tbl>
      <w:tblPr>
        <w:tblW w:w="8217" w:type="dxa"/>
        <w:tblLook w:val="04A0" w:firstRow="1" w:lastRow="0" w:firstColumn="1" w:lastColumn="0" w:noHBand="0" w:noVBand="1"/>
      </w:tblPr>
      <w:tblGrid>
        <w:gridCol w:w="1720"/>
        <w:gridCol w:w="3378"/>
        <w:gridCol w:w="3119"/>
      </w:tblGrid>
      <w:tr w:rsidR="005922B2" w:rsidRPr="005922B2" w14:paraId="2928AD77" w14:textId="77777777" w:rsidTr="005922B2">
        <w:trPr>
          <w:trHeight w:val="290"/>
        </w:trPr>
        <w:tc>
          <w:tcPr>
            <w:tcW w:w="1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5AFD9F" w14:textId="77777777" w:rsidR="005922B2" w:rsidRPr="005922B2" w:rsidRDefault="005922B2" w:rsidP="005922B2">
            <w:pPr>
              <w:spacing w:line="240" w:lineRule="auto"/>
              <w:rPr>
                <w:b/>
                <w:bCs/>
                <w:color w:val="000000"/>
                <w:lang w:val="ro-RO" w:eastAsia="ro-RO"/>
              </w:rPr>
            </w:pPr>
            <w:r w:rsidRPr="005922B2">
              <w:rPr>
                <w:b/>
                <w:bCs/>
                <w:color w:val="000000"/>
                <w:lang w:val="ro-RO" w:eastAsia="ro-RO"/>
              </w:rPr>
              <w:t xml:space="preserve">Variable </w:t>
            </w:r>
          </w:p>
        </w:tc>
        <w:tc>
          <w:tcPr>
            <w:tcW w:w="3378" w:type="dxa"/>
            <w:tcBorders>
              <w:top w:val="single" w:sz="4" w:space="0" w:color="auto"/>
              <w:left w:val="nil"/>
              <w:bottom w:val="single" w:sz="4" w:space="0" w:color="auto"/>
              <w:right w:val="single" w:sz="4" w:space="0" w:color="auto"/>
            </w:tcBorders>
            <w:shd w:val="clear" w:color="auto" w:fill="auto"/>
            <w:noWrap/>
            <w:vAlign w:val="bottom"/>
            <w:hideMark/>
          </w:tcPr>
          <w:p w14:paraId="40C0A06B" w14:textId="77777777" w:rsidR="005922B2" w:rsidRPr="005922B2" w:rsidRDefault="005922B2" w:rsidP="005922B2">
            <w:pPr>
              <w:spacing w:line="240" w:lineRule="auto"/>
              <w:rPr>
                <w:b/>
                <w:bCs/>
                <w:color w:val="000000"/>
                <w:lang w:val="ro-RO" w:eastAsia="ro-RO"/>
              </w:rPr>
            </w:pPr>
            <w:r w:rsidRPr="005922B2">
              <w:rPr>
                <w:b/>
                <w:bCs/>
                <w:color w:val="000000"/>
                <w:lang w:val="ro-RO" w:eastAsia="ro-RO"/>
              </w:rPr>
              <w:t>Response (Expansionary MP)</w:t>
            </w:r>
          </w:p>
        </w:tc>
        <w:tc>
          <w:tcPr>
            <w:tcW w:w="3119" w:type="dxa"/>
            <w:tcBorders>
              <w:top w:val="single" w:sz="4" w:space="0" w:color="auto"/>
              <w:left w:val="nil"/>
              <w:bottom w:val="single" w:sz="4" w:space="0" w:color="auto"/>
              <w:right w:val="single" w:sz="4" w:space="0" w:color="auto"/>
            </w:tcBorders>
            <w:shd w:val="clear" w:color="auto" w:fill="auto"/>
            <w:noWrap/>
            <w:vAlign w:val="bottom"/>
            <w:hideMark/>
          </w:tcPr>
          <w:p w14:paraId="38D6F2AD" w14:textId="77777777" w:rsidR="005922B2" w:rsidRPr="005922B2" w:rsidRDefault="005922B2" w:rsidP="005922B2">
            <w:pPr>
              <w:spacing w:line="240" w:lineRule="auto"/>
              <w:rPr>
                <w:b/>
                <w:bCs/>
                <w:color w:val="000000"/>
                <w:lang w:val="ro-RO" w:eastAsia="ro-RO"/>
              </w:rPr>
            </w:pPr>
            <w:r w:rsidRPr="005922B2">
              <w:rPr>
                <w:b/>
                <w:bCs/>
                <w:color w:val="000000"/>
                <w:lang w:val="ro-RO" w:eastAsia="ro-RO"/>
              </w:rPr>
              <w:t>Response (Tightening MP)</w:t>
            </w:r>
          </w:p>
        </w:tc>
      </w:tr>
      <w:tr w:rsidR="005922B2" w:rsidRPr="005922B2" w14:paraId="6A9F3197" w14:textId="77777777" w:rsidTr="005922B2">
        <w:trPr>
          <w:trHeight w:val="29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1893872C" w14:textId="77777777" w:rsidR="005922B2" w:rsidRPr="005922B2" w:rsidRDefault="005922B2" w:rsidP="005922B2">
            <w:pPr>
              <w:spacing w:line="240" w:lineRule="auto"/>
              <w:rPr>
                <w:b/>
                <w:bCs/>
                <w:color w:val="000000"/>
                <w:lang w:val="ro-RO" w:eastAsia="ro-RO"/>
              </w:rPr>
            </w:pPr>
            <w:r w:rsidRPr="005922B2">
              <w:rPr>
                <w:b/>
                <w:bCs/>
                <w:color w:val="000000"/>
                <w:lang w:val="ro-RO" w:eastAsia="ro-RO"/>
              </w:rPr>
              <w:t xml:space="preserve">GDP </w:t>
            </w:r>
          </w:p>
        </w:tc>
        <w:tc>
          <w:tcPr>
            <w:tcW w:w="3378" w:type="dxa"/>
            <w:tcBorders>
              <w:top w:val="nil"/>
              <w:left w:val="nil"/>
              <w:bottom w:val="single" w:sz="4" w:space="0" w:color="auto"/>
              <w:right w:val="single" w:sz="4" w:space="0" w:color="auto"/>
            </w:tcBorders>
            <w:shd w:val="clear" w:color="auto" w:fill="auto"/>
            <w:noWrap/>
            <w:vAlign w:val="bottom"/>
            <w:hideMark/>
          </w:tcPr>
          <w:p w14:paraId="6EB56DC3" w14:textId="77777777" w:rsidR="005922B2" w:rsidRPr="005922B2" w:rsidRDefault="005922B2" w:rsidP="005922B2">
            <w:pPr>
              <w:spacing w:line="240" w:lineRule="auto"/>
              <w:jc w:val="center"/>
              <w:rPr>
                <w:color w:val="000000"/>
                <w:lang w:val="ro-RO" w:eastAsia="ro-RO"/>
              </w:rPr>
            </w:pPr>
            <w:r w:rsidRPr="005922B2">
              <w:rPr>
                <w:color w:val="000000"/>
                <w:lang w:val="ro-RO" w:eastAsia="ro-RO"/>
              </w:rPr>
              <w:t xml:space="preserve">Growth </w:t>
            </w:r>
          </w:p>
        </w:tc>
        <w:tc>
          <w:tcPr>
            <w:tcW w:w="3119" w:type="dxa"/>
            <w:tcBorders>
              <w:top w:val="nil"/>
              <w:left w:val="nil"/>
              <w:bottom w:val="single" w:sz="4" w:space="0" w:color="auto"/>
              <w:right w:val="single" w:sz="4" w:space="0" w:color="auto"/>
            </w:tcBorders>
            <w:shd w:val="clear" w:color="auto" w:fill="auto"/>
            <w:noWrap/>
            <w:vAlign w:val="bottom"/>
            <w:hideMark/>
          </w:tcPr>
          <w:p w14:paraId="4140B652" w14:textId="77777777" w:rsidR="005922B2" w:rsidRPr="005922B2" w:rsidRDefault="005922B2" w:rsidP="005922B2">
            <w:pPr>
              <w:spacing w:line="240" w:lineRule="auto"/>
              <w:jc w:val="center"/>
              <w:rPr>
                <w:color w:val="000000"/>
                <w:lang w:val="ro-RO" w:eastAsia="ro-RO"/>
              </w:rPr>
            </w:pPr>
            <w:r w:rsidRPr="005922B2">
              <w:rPr>
                <w:color w:val="000000"/>
                <w:lang w:val="ro-RO" w:eastAsia="ro-RO"/>
              </w:rPr>
              <w:t>n/a</w:t>
            </w:r>
          </w:p>
        </w:tc>
      </w:tr>
      <w:tr w:rsidR="005922B2" w:rsidRPr="005922B2" w14:paraId="51EF810B" w14:textId="77777777" w:rsidTr="005922B2">
        <w:trPr>
          <w:trHeight w:val="29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783E6AD5" w14:textId="77777777" w:rsidR="005922B2" w:rsidRPr="005922B2" w:rsidRDefault="005922B2" w:rsidP="005922B2">
            <w:pPr>
              <w:spacing w:line="240" w:lineRule="auto"/>
              <w:rPr>
                <w:b/>
                <w:bCs/>
                <w:color w:val="000000"/>
                <w:lang w:val="ro-RO" w:eastAsia="ro-RO"/>
              </w:rPr>
            </w:pPr>
            <w:r w:rsidRPr="005922B2">
              <w:rPr>
                <w:b/>
                <w:bCs/>
                <w:color w:val="000000"/>
                <w:lang w:val="ro-RO" w:eastAsia="ro-RO"/>
              </w:rPr>
              <w:t>Inflation</w:t>
            </w:r>
          </w:p>
        </w:tc>
        <w:tc>
          <w:tcPr>
            <w:tcW w:w="3378" w:type="dxa"/>
            <w:tcBorders>
              <w:top w:val="nil"/>
              <w:left w:val="nil"/>
              <w:bottom w:val="single" w:sz="4" w:space="0" w:color="auto"/>
              <w:right w:val="single" w:sz="4" w:space="0" w:color="auto"/>
            </w:tcBorders>
            <w:shd w:val="clear" w:color="auto" w:fill="auto"/>
            <w:noWrap/>
            <w:vAlign w:val="bottom"/>
            <w:hideMark/>
          </w:tcPr>
          <w:p w14:paraId="0D956CAF" w14:textId="77777777" w:rsidR="005922B2" w:rsidRPr="005922B2" w:rsidRDefault="005922B2" w:rsidP="005922B2">
            <w:pPr>
              <w:spacing w:line="240" w:lineRule="auto"/>
              <w:jc w:val="center"/>
              <w:rPr>
                <w:color w:val="000000"/>
                <w:lang w:val="ro-RO" w:eastAsia="ro-RO"/>
              </w:rPr>
            </w:pPr>
            <w:r w:rsidRPr="005922B2">
              <w:rPr>
                <w:color w:val="000000"/>
                <w:lang w:val="ro-RO" w:eastAsia="ro-RO"/>
              </w:rPr>
              <w:t>n/a</w:t>
            </w:r>
          </w:p>
        </w:tc>
        <w:tc>
          <w:tcPr>
            <w:tcW w:w="3119" w:type="dxa"/>
            <w:tcBorders>
              <w:top w:val="nil"/>
              <w:left w:val="nil"/>
              <w:bottom w:val="single" w:sz="4" w:space="0" w:color="auto"/>
              <w:right w:val="single" w:sz="4" w:space="0" w:color="auto"/>
            </w:tcBorders>
            <w:shd w:val="clear" w:color="auto" w:fill="auto"/>
            <w:noWrap/>
            <w:vAlign w:val="bottom"/>
            <w:hideMark/>
          </w:tcPr>
          <w:p w14:paraId="3877406E" w14:textId="77777777" w:rsidR="005922B2" w:rsidRPr="005922B2" w:rsidRDefault="005922B2" w:rsidP="005922B2">
            <w:pPr>
              <w:spacing w:line="240" w:lineRule="auto"/>
              <w:jc w:val="center"/>
              <w:rPr>
                <w:color w:val="000000"/>
                <w:lang w:val="ro-RO" w:eastAsia="ro-RO"/>
              </w:rPr>
            </w:pPr>
            <w:r w:rsidRPr="005922B2">
              <w:rPr>
                <w:color w:val="000000"/>
                <w:lang w:val="ro-RO" w:eastAsia="ro-RO"/>
              </w:rPr>
              <w:t>Growth</w:t>
            </w:r>
          </w:p>
        </w:tc>
      </w:tr>
      <w:tr w:rsidR="005922B2" w:rsidRPr="005922B2" w14:paraId="164A0CED" w14:textId="77777777" w:rsidTr="005922B2">
        <w:trPr>
          <w:trHeight w:val="29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6C366EF7" w14:textId="77777777" w:rsidR="005922B2" w:rsidRPr="005922B2" w:rsidRDefault="005922B2" w:rsidP="005922B2">
            <w:pPr>
              <w:spacing w:line="240" w:lineRule="auto"/>
              <w:rPr>
                <w:b/>
                <w:bCs/>
                <w:color w:val="000000"/>
                <w:lang w:val="ro-RO" w:eastAsia="ro-RO"/>
              </w:rPr>
            </w:pPr>
            <w:r w:rsidRPr="005922B2">
              <w:rPr>
                <w:b/>
                <w:bCs/>
                <w:color w:val="000000"/>
                <w:lang w:val="ro-RO" w:eastAsia="ro-RO"/>
              </w:rPr>
              <w:t>Exchange rate</w:t>
            </w:r>
          </w:p>
        </w:tc>
        <w:tc>
          <w:tcPr>
            <w:tcW w:w="3378" w:type="dxa"/>
            <w:tcBorders>
              <w:top w:val="nil"/>
              <w:left w:val="nil"/>
              <w:bottom w:val="single" w:sz="4" w:space="0" w:color="auto"/>
              <w:right w:val="single" w:sz="4" w:space="0" w:color="auto"/>
            </w:tcBorders>
            <w:shd w:val="clear" w:color="auto" w:fill="auto"/>
            <w:noWrap/>
            <w:vAlign w:val="bottom"/>
            <w:hideMark/>
          </w:tcPr>
          <w:p w14:paraId="7F4BF01D" w14:textId="77777777" w:rsidR="005922B2" w:rsidRPr="005922B2" w:rsidRDefault="005922B2" w:rsidP="005922B2">
            <w:pPr>
              <w:spacing w:line="240" w:lineRule="auto"/>
              <w:jc w:val="center"/>
              <w:rPr>
                <w:color w:val="000000"/>
                <w:lang w:val="ro-RO" w:eastAsia="ro-RO"/>
              </w:rPr>
            </w:pPr>
            <w:r w:rsidRPr="005922B2">
              <w:rPr>
                <w:color w:val="000000"/>
                <w:lang w:val="ro-RO" w:eastAsia="ro-RO"/>
              </w:rPr>
              <w:t>Appreciation (CEE Currency)</w:t>
            </w:r>
          </w:p>
        </w:tc>
        <w:tc>
          <w:tcPr>
            <w:tcW w:w="3119" w:type="dxa"/>
            <w:tcBorders>
              <w:top w:val="nil"/>
              <w:left w:val="nil"/>
              <w:bottom w:val="single" w:sz="4" w:space="0" w:color="auto"/>
              <w:right w:val="single" w:sz="4" w:space="0" w:color="auto"/>
            </w:tcBorders>
            <w:shd w:val="clear" w:color="auto" w:fill="auto"/>
            <w:noWrap/>
            <w:vAlign w:val="bottom"/>
            <w:hideMark/>
          </w:tcPr>
          <w:p w14:paraId="1F478871" w14:textId="77777777" w:rsidR="005922B2" w:rsidRPr="005922B2" w:rsidRDefault="005922B2" w:rsidP="005922B2">
            <w:pPr>
              <w:spacing w:line="240" w:lineRule="auto"/>
              <w:jc w:val="center"/>
              <w:rPr>
                <w:color w:val="000000"/>
                <w:lang w:val="ro-RO" w:eastAsia="ro-RO"/>
              </w:rPr>
            </w:pPr>
            <w:r w:rsidRPr="005922B2">
              <w:rPr>
                <w:color w:val="000000"/>
                <w:lang w:val="ro-RO" w:eastAsia="ro-RO"/>
              </w:rPr>
              <w:t>Depreciation (CEE Currency)</w:t>
            </w:r>
          </w:p>
        </w:tc>
      </w:tr>
      <w:tr w:rsidR="005922B2" w:rsidRPr="005922B2" w14:paraId="2D7E23B9" w14:textId="77777777" w:rsidTr="005922B2">
        <w:trPr>
          <w:trHeight w:val="29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31DEAA94" w14:textId="77777777" w:rsidR="005922B2" w:rsidRPr="005922B2" w:rsidRDefault="005922B2" w:rsidP="005922B2">
            <w:pPr>
              <w:spacing w:line="240" w:lineRule="auto"/>
              <w:rPr>
                <w:b/>
                <w:bCs/>
                <w:color w:val="000000"/>
                <w:lang w:val="ro-RO" w:eastAsia="ro-RO"/>
              </w:rPr>
            </w:pPr>
            <w:r w:rsidRPr="005922B2">
              <w:rPr>
                <w:b/>
                <w:bCs/>
                <w:color w:val="000000"/>
                <w:lang w:val="ro-RO" w:eastAsia="ro-RO"/>
              </w:rPr>
              <w:t xml:space="preserve">Interest rates </w:t>
            </w:r>
          </w:p>
        </w:tc>
        <w:tc>
          <w:tcPr>
            <w:tcW w:w="3378" w:type="dxa"/>
            <w:tcBorders>
              <w:top w:val="nil"/>
              <w:left w:val="nil"/>
              <w:bottom w:val="single" w:sz="4" w:space="0" w:color="auto"/>
              <w:right w:val="single" w:sz="4" w:space="0" w:color="auto"/>
            </w:tcBorders>
            <w:shd w:val="clear" w:color="auto" w:fill="auto"/>
            <w:noWrap/>
            <w:vAlign w:val="bottom"/>
            <w:hideMark/>
          </w:tcPr>
          <w:p w14:paraId="4642B85F" w14:textId="77777777" w:rsidR="005922B2" w:rsidRPr="005922B2" w:rsidRDefault="005922B2" w:rsidP="005922B2">
            <w:pPr>
              <w:spacing w:line="240" w:lineRule="auto"/>
              <w:jc w:val="center"/>
              <w:rPr>
                <w:color w:val="000000"/>
                <w:lang w:val="ro-RO" w:eastAsia="ro-RO"/>
              </w:rPr>
            </w:pPr>
            <w:r w:rsidRPr="005922B2">
              <w:rPr>
                <w:color w:val="000000"/>
                <w:lang w:val="ro-RO" w:eastAsia="ro-RO"/>
              </w:rPr>
              <w:t>Decrease</w:t>
            </w:r>
          </w:p>
        </w:tc>
        <w:tc>
          <w:tcPr>
            <w:tcW w:w="3119" w:type="dxa"/>
            <w:tcBorders>
              <w:top w:val="nil"/>
              <w:left w:val="nil"/>
              <w:bottom w:val="single" w:sz="4" w:space="0" w:color="auto"/>
              <w:right w:val="single" w:sz="4" w:space="0" w:color="auto"/>
            </w:tcBorders>
            <w:shd w:val="clear" w:color="auto" w:fill="auto"/>
            <w:noWrap/>
            <w:vAlign w:val="bottom"/>
            <w:hideMark/>
          </w:tcPr>
          <w:p w14:paraId="08A7EEBB" w14:textId="77777777" w:rsidR="005922B2" w:rsidRPr="005922B2" w:rsidRDefault="005922B2" w:rsidP="005922B2">
            <w:pPr>
              <w:spacing w:line="240" w:lineRule="auto"/>
              <w:jc w:val="center"/>
              <w:rPr>
                <w:color w:val="000000"/>
                <w:lang w:val="ro-RO" w:eastAsia="ro-RO"/>
              </w:rPr>
            </w:pPr>
            <w:r w:rsidRPr="005922B2">
              <w:rPr>
                <w:color w:val="000000"/>
                <w:lang w:val="ro-RO" w:eastAsia="ro-RO"/>
              </w:rPr>
              <w:t>n/a</w:t>
            </w:r>
          </w:p>
        </w:tc>
      </w:tr>
    </w:tbl>
    <w:p w14:paraId="1BDB96E5" w14:textId="77777777" w:rsidR="005922B2" w:rsidRDefault="005922B2" w:rsidP="005922B2">
      <w:pPr>
        <w:spacing w:line="240" w:lineRule="auto"/>
        <w:rPr>
          <w:i/>
        </w:rPr>
      </w:pPr>
    </w:p>
    <w:p w14:paraId="709F1A5C" w14:textId="5514D927" w:rsidR="005922B2" w:rsidRPr="006D4438" w:rsidRDefault="005922B2" w:rsidP="005922B2">
      <w:pPr>
        <w:spacing w:line="360" w:lineRule="auto"/>
        <w:rPr>
          <w:iCs/>
        </w:rPr>
      </w:pPr>
      <w:r w:rsidRPr="00E748B9">
        <w:rPr>
          <w:i/>
        </w:rPr>
        <w:t>Table 1</w:t>
      </w:r>
      <w:r w:rsidRPr="006D4438">
        <w:rPr>
          <w:iCs/>
        </w:rPr>
        <w:t xml:space="preserve">. </w:t>
      </w:r>
      <w:r>
        <w:rPr>
          <w:iCs/>
        </w:rPr>
        <w:t>Cumulated spillover effects of conventional monetary policies</w:t>
      </w:r>
      <w:r w:rsidRPr="006D4438">
        <w:rPr>
          <w:iCs/>
        </w:rPr>
        <w:t xml:space="preserve">. Table made by the authors. </w:t>
      </w:r>
    </w:p>
    <w:p w14:paraId="6BC69F2E" w14:textId="4A1A5E43" w:rsidR="005922B2" w:rsidRPr="00DF25D9" w:rsidRDefault="005922B2" w:rsidP="00DF25D9">
      <w:pPr>
        <w:spacing w:line="360" w:lineRule="auto"/>
        <w:ind w:firstLine="720"/>
        <w:rPr>
          <w:lang w:val="en-US"/>
        </w:rPr>
      </w:pPr>
    </w:p>
    <w:p w14:paraId="0EA752F7" w14:textId="77777777" w:rsidR="00DF25D9" w:rsidRPr="00DF25D9" w:rsidRDefault="00DF25D9" w:rsidP="00DF25D9">
      <w:pPr>
        <w:spacing w:line="360" w:lineRule="auto"/>
        <w:ind w:firstLine="720"/>
        <w:rPr>
          <w:lang w:val="en"/>
        </w:rPr>
      </w:pPr>
      <w:r w:rsidRPr="00DF25D9">
        <w:rPr>
          <w:lang w:val="en"/>
        </w:rPr>
        <w:t>The vast use of conventional monetary policies by the ECB, i.e., lowering the short-term interest rates has approached the zero-lower bound (ZLB) and then venturing even in the negative territory, has complicated the fulfilling of the central bank’s main goal of stabilizing the economy. ZLB denotes the point starting from which further reduction in interest rates no longer has previous effectiveness due to the smaller space left to counter low inflation. One of the recent studies conducted by Buch et al. (2019) has proved that even when policy rates are not bound by the ZLB, the possibility that they will be in the future creates the ZLB risk, which in turn complicates the achievement of CB’s goal.</w:t>
      </w:r>
    </w:p>
    <w:p w14:paraId="53BF0055" w14:textId="353E463D" w:rsidR="00DC1244" w:rsidRPr="00DF25D9" w:rsidRDefault="00DF25D9" w:rsidP="005922B2">
      <w:pPr>
        <w:spacing w:line="360" w:lineRule="auto"/>
        <w:ind w:firstLine="720"/>
        <w:rPr>
          <w:lang w:val="en-US"/>
        </w:rPr>
      </w:pPr>
      <w:r w:rsidRPr="00DF25D9">
        <w:rPr>
          <w:lang w:val="en"/>
        </w:rPr>
        <w:t xml:space="preserve">Thus, after the switch in 2014 of the policy rates to the negative area, ECB turned from using preponderantly the conventional monetary policies to the so-called “unconventional monetary policies”, expected to stimulate the economy. </w:t>
      </w:r>
    </w:p>
    <w:p w14:paraId="617CAD6B" w14:textId="48A481A3" w:rsidR="00DC1244" w:rsidRPr="00B444F1" w:rsidRDefault="00DC1244" w:rsidP="00B444F1">
      <w:pPr>
        <w:pStyle w:val="Heading2"/>
        <w:rPr>
          <w:i w:val="0"/>
          <w:iCs w:val="0"/>
        </w:rPr>
      </w:pPr>
      <w:r w:rsidRPr="00B444F1">
        <w:rPr>
          <w:i w:val="0"/>
          <w:iCs w:val="0"/>
        </w:rPr>
        <w:t xml:space="preserve"> </w:t>
      </w:r>
      <w:bookmarkStart w:id="17" w:name="_Toc99919333"/>
      <w:r w:rsidR="00042406" w:rsidRPr="00B444F1">
        <w:rPr>
          <w:i w:val="0"/>
          <w:iCs w:val="0"/>
        </w:rPr>
        <w:t xml:space="preserve">2.3 </w:t>
      </w:r>
      <w:r w:rsidRPr="00B444F1">
        <w:rPr>
          <w:i w:val="0"/>
          <w:iCs w:val="0"/>
        </w:rPr>
        <w:t>A brief description of unconventional monetary policy tools</w:t>
      </w:r>
      <w:bookmarkEnd w:id="17"/>
    </w:p>
    <w:p w14:paraId="0715DB55" w14:textId="77777777" w:rsidR="00DC1244" w:rsidRPr="003002B4" w:rsidRDefault="00DC1244" w:rsidP="00DC1244">
      <w:pPr>
        <w:spacing w:line="360" w:lineRule="auto"/>
        <w:ind w:firstLine="720"/>
      </w:pPr>
      <w:r w:rsidRPr="003002B4">
        <w:t>This subsection briefly defines the main unconventional monetary policy tools exploited by the central banks, namely forward guidance (FG), targeted long-term refinancing operations (TLTROs), negative interest rates policy (NIPR), and asset purchase programmes (APP).</w:t>
      </w:r>
    </w:p>
    <w:p w14:paraId="5456DAA2" w14:textId="6DEB3DBF" w:rsidR="00DC1244" w:rsidRPr="00042406" w:rsidRDefault="00DC1244" w:rsidP="00042406">
      <w:pPr>
        <w:spacing w:line="360" w:lineRule="auto"/>
        <w:ind w:firstLine="720"/>
      </w:pPr>
      <w:r w:rsidRPr="00042406">
        <w:rPr>
          <w:b/>
          <w:bCs/>
          <w:i/>
        </w:rPr>
        <w:t>Forward Guidance</w:t>
      </w:r>
      <w:r w:rsidR="00042406">
        <w:rPr>
          <w:b/>
          <w:bCs/>
          <w:i/>
        </w:rPr>
        <w:t xml:space="preserve">. </w:t>
      </w:r>
      <w:r w:rsidRPr="003002B4">
        <w:t>FG is a communication tool, which allows ECB to impart their monetary policy intentions for the future (</w:t>
      </w:r>
      <w:proofErr w:type="spellStart"/>
      <w:r w:rsidRPr="003002B4">
        <w:t>Praet</w:t>
      </w:r>
      <w:proofErr w:type="spellEnd"/>
      <w:r w:rsidRPr="003002B4">
        <w:t xml:space="preserve">, 2013). The idea of utilizing FG to stimulate the economy </w:t>
      </w:r>
      <w:proofErr w:type="gramStart"/>
      <w:r w:rsidRPr="003002B4">
        <w:t>dates back to</w:t>
      </w:r>
      <w:proofErr w:type="gramEnd"/>
      <w:r w:rsidRPr="003002B4">
        <w:t xml:space="preserve"> Krugman </w:t>
      </w:r>
      <w:r w:rsidR="005B0C10">
        <w:t xml:space="preserve">et. al. </w:t>
      </w:r>
      <w:r w:rsidRPr="003002B4">
        <w:t>(1998). However, CBs did not implement the tool, because there was no existing commitment mechanism, which would make the bank’s promises credible (</w:t>
      </w:r>
      <w:proofErr w:type="spellStart"/>
      <w:r w:rsidRPr="003002B4">
        <w:t>Haberis</w:t>
      </w:r>
      <w:proofErr w:type="spellEnd"/>
      <w:r w:rsidRPr="003002B4">
        <w:t xml:space="preserve"> et al., 2017). One of the first examples of FG is an announcement made on July 4, 2013, when the ECB’s Governing Council announced that ECB interest rates are expected to either stay at the same level </w:t>
      </w:r>
      <w:r w:rsidRPr="003002B4">
        <w:lastRenderedPageBreak/>
        <w:t>or lower “for an extended period of time” (Draghi, 2013). Even though this proclamation did not contain any quantitative data and was undefined, markets instantly noticed that there had been a significant shift in the communication procedures of the bank which had never previously promised to commit (</w:t>
      </w:r>
      <w:proofErr w:type="spellStart"/>
      <w:r w:rsidRPr="003002B4">
        <w:t>Haberis</w:t>
      </w:r>
      <w:proofErr w:type="spellEnd"/>
      <w:r w:rsidRPr="003002B4">
        <w:t xml:space="preserve"> et al., 2017).</w:t>
      </w:r>
    </w:p>
    <w:p w14:paraId="230E4BCD" w14:textId="64014C15" w:rsidR="00DC1244" w:rsidRDefault="00DC1244" w:rsidP="000142C2">
      <w:pPr>
        <w:spacing w:line="360" w:lineRule="auto"/>
        <w:ind w:firstLine="720"/>
      </w:pPr>
      <w:r w:rsidRPr="003002B4">
        <w:t>There have been various empirical studies conducted to evaluate the effects of the ECB’s FG. The research carried out even before the GFC has demonstrated that there is a so-called “path component” of monetary policy communication, which can result in the hump-shaped effects on the yield curve (</w:t>
      </w:r>
      <w:proofErr w:type="spellStart"/>
      <w:r w:rsidRPr="003002B4">
        <w:t>Gürkaynak</w:t>
      </w:r>
      <w:proofErr w:type="spellEnd"/>
      <w:r w:rsidRPr="003002B4">
        <w:t xml:space="preserve"> et al., 200</w:t>
      </w:r>
      <w:r w:rsidR="000E2110">
        <w:t>4</w:t>
      </w:r>
      <w:r w:rsidRPr="003002B4">
        <w:t xml:space="preserve">). </w:t>
      </w:r>
      <w:proofErr w:type="spellStart"/>
      <w:r w:rsidRPr="003002B4">
        <w:t>Zlobins</w:t>
      </w:r>
      <w:proofErr w:type="spellEnd"/>
      <w:r w:rsidRPr="003002B4">
        <w:t xml:space="preserve"> (20</w:t>
      </w:r>
      <w:r w:rsidR="000E2110">
        <w:t>21</w:t>
      </w:r>
      <w:r w:rsidRPr="003002B4">
        <w:t xml:space="preserve">) found that the ECB’s announcement of interest rate cut leads to 5 bps decrease in interest rate expectations, 0.09%-0.12% growth in the Eurozone output, as well as 0.035% increase in price levels. The author also discovered that such announcements have a negative impact on borrowing costs for both businesses and households. Likewise, Hubert </w:t>
      </w:r>
      <w:r w:rsidR="000E2110">
        <w:t>&amp;</w:t>
      </w:r>
      <w:r w:rsidRPr="003002B4">
        <w:t xml:space="preserve"> </w:t>
      </w:r>
      <w:proofErr w:type="spellStart"/>
      <w:r w:rsidRPr="003002B4">
        <w:t>Labondance</w:t>
      </w:r>
      <w:proofErr w:type="spellEnd"/>
      <w:r w:rsidRPr="003002B4">
        <w:t xml:space="preserve"> (2018) utilized high-frequency data of overnight indexed swaps (OIS) to examine the effects of FG proclamations on the temporal structure of short-term interest rates by implementing a combination of an event-study approach and ARCH model. The results have shown that FG announcements diminish OIS rates for almost all maturities tested. Additionally, the authors concluded that “the effect of these announcements is more about the stance of future ECB monetary policy than about </w:t>
      </w:r>
      <w:proofErr w:type="spellStart"/>
      <w:r w:rsidRPr="003002B4">
        <w:t>signaling</w:t>
      </w:r>
      <w:proofErr w:type="spellEnd"/>
      <w:r w:rsidRPr="003002B4">
        <w:t xml:space="preserve"> the ECB’s views about the macroeconomic outlook.”</w:t>
      </w:r>
    </w:p>
    <w:p w14:paraId="4E468F80" w14:textId="77777777" w:rsidR="00042406" w:rsidRPr="003002B4" w:rsidRDefault="00042406" w:rsidP="000142C2">
      <w:pPr>
        <w:spacing w:line="360" w:lineRule="auto"/>
        <w:ind w:firstLine="720"/>
      </w:pPr>
    </w:p>
    <w:p w14:paraId="74E118E7" w14:textId="110347F2" w:rsidR="00DC1244" w:rsidRPr="0019397C" w:rsidRDefault="00DC1244" w:rsidP="0019397C">
      <w:pPr>
        <w:spacing w:line="360" w:lineRule="auto"/>
        <w:ind w:firstLine="720"/>
      </w:pPr>
      <w:r w:rsidRPr="00042406">
        <w:rPr>
          <w:b/>
          <w:bCs/>
          <w:i/>
        </w:rPr>
        <w:t>Targeted long-term refinancing operations (TLTROs)</w:t>
      </w:r>
      <w:r w:rsidR="00042406" w:rsidRPr="00042406">
        <w:rPr>
          <w:b/>
          <w:bCs/>
          <w:i/>
        </w:rPr>
        <w:t>.</w:t>
      </w:r>
      <w:r w:rsidR="00042406">
        <w:rPr>
          <w:i/>
        </w:rPr>
        <w:t xml:space="preserve"> </w:t>
      </w:r>
      <w:r w:rsidRPr="003002B4">
        <w:t>The ECB deploys TLTROs to provide banks with longer-term loans at low interest rates, encouraging them to lend to firms and consumers within the Eurozone. This instrument has three distinctions from the ECB’s main refinancing operations. Firstly, TLTROs are targeted either at boosting or at keeping the level of lending to firms and consumers. Secondly, banks will be offered longer-term loans only under the condition that they indeed will form the loans and sell to businesses and people at lower costs. And thirdly, TLTROs have longer maturity (up to four years) than other liquidity-providing tools employed by the ECB (European Central Bank, 2021).</w:t>
      </w:r>
    </w:p>
    <w:p w14:paraId="7A854E79" w14:textId="02DFAC2D" w:rsidR="00DC1244" w:rsidRPr="003002B4" w:rsidRDefault="00DC1244" w:rsidP="000142C2">
      <w:pPr>
        <w:spacing w:line="360" w:lineRule="auto"/>
        <w:ind w:firstLine="720"/>
      </w:pPr>
      <w:proofErr w:type="spellStart"/>
      <w:r w:rsidRPr="003002B4">
        <w:t>Andreeva</w:t>
      </w:r>
      <w:proofErr w:type="spellEnd"/>
      <w:r w:rsidRPr="003002B4">
        <w:t xml:space="preserve"> </w:t>
      </w:r>
      <w:r w:rsidR="000E2110">
        <w:t>&amp;</w:t>
      </w:r>
      <w:r w:rsidRPr="003002B4">
        <w:t xml:space="preserve"> García-Posada (202</w:t>
      </w:r>
      <w:r w:rsidR="000E2110">
        <w:t>1)</w:t>
      </w:r>
      <w:r w:rsidRPr="003002B4">
        <w:t xml:space="preserve"> explored the effects of ECB’s TLTROs on bank’s lending policies using a sample of 130 banks from 13 countries. The authors discovered that in addition to the direct effect of the instrument </w:t>
      </w:r>
      <w:proofErr w:type="gramStart"/>
      <w:r w:rsidRPr="003002B4">
        <w:t>-  expansion</w:t>
      </w:r>
      <w:proofErr w:type="gramEnd"/>
      <w:r w:rsidRPr="003002B4">
        <w:t xml:space="preserve"> of credit supply generated because of lower marginal costs - there are two indirect effects: boost in credit market competition, and decrease in deposit rates, which is the result of </w:t>
      </w:r>
      <w:r w:rsidRPr="003002B4">
        <w:lastRenderedPageBreak/>
        <w:t>substituting deposit funding with TLTRO funding. The empirical results suggested that TLTROs generate robust indirect effects on loan standards, whereas no significant effect on loan margins has been identified. Everything considered, it was indicated that TLTROs created beneficial financing externalities on non-bidders.</w:t>
      </w:r>
    </w:p>
    <w:p w14:paraId="652FBD4F" w14:textId="12A96155" w:rsidR="00DC1244" w:rsidRPr="0019397C" w:rsidRDefault="00DC1244" w:rsidP="0019397C">
      <w:pPr>
        <w:spacing w:before="240" w:after="240" w:line="360" w:lineRule="auto"/>
        <w:ind w:firstLine="720"/>
        <w:rPr>
          <w:i/>
        </w:rPr>
      </w:pPr>
      <w:r w:rsidRPr="0019397C">
        <w:rPr>
          <w:b/>
          <w:bCs/>
          <w:i/>
        </w:rPr>
        <w:t>Negative interest rates policy (NIPR)</w:t>
      </w:r>
      <w:r w:rsidR="0019397C" w:rsidRPr="0019397C">
        <w:rPr>
          <w:b/>
          <w:bCs/>
          <w:i/>
        </w:rPr>
        <w:t>.</w:t>
      </w:r>
      <w:r w:rsidR="0019397C">
        <w:rPr>
          <w:i/>
        </w:rPr>
        <w:t xml:space="preserve"> </w:t>
      </w:r>
      <w:r w:rsidRPr="003002B4">
        <w:t>In 2014 the ECB for the first time entered the unchartered territory of negative deposit facility rates (DFR). Due to no experience with negative interest rates, the ECB took it slowly at first, cutting DFR in 10 basis-point increments until September 2019, when it fell to -0.5% (Schnabel, 2020). Breaking the ZLB had two goals: to redefine the expected future trajectory of short-term interest rates and to stimulate the growth of the credit market. According to a large body of empirical evidence, both NIPR objectives have been met (</w:t>
      </w:r>
      <w:proofErr w:type="spellStart"/>
      <w:r w:rsidRPr="003002B4">
        <w:t>Moessner</w:t>
      </w:r>
      <w:proofErr w:type="spellEnd"/>
      <w:r w:rsidRPr="003002B4">
        <w:t xml:space="preserve"> &amp; </w:t>
      </w:r>
      <w:proofErr w:type="spellStart"/>
      <w:r w:rsidRPr="003002B4">
        <w:t>Rungcharoenkitkul</w:t>
      </w:r>
      <w:proofErr w:type="spellEnd"/>
      <w:r w:rsidRPr="003002B4">
        <w:t>, 2019). As claimed by Lane (20</w:t>
      </w:r>
      <w:r w:rsidR="000E2110">
        <w:t>20</w:t>
      </w:r>
      <w:r w:rsidRPr="003002B4">
        <w:t>), the effects from rates reduction in the negative area have had stronger effects on the yield curve than from those in the positive area. Nonetheless, NIPR has been criticized for its side effects on bank’s profitability and risk-taking behavior. To be more precise, banks generally do not transfer negative rates to their retail c</w:t>
      </w:r>
      <w:r w:rsidR="00E47900">
        <w:t>lients</w:t>
      </w:r>
      <w:r w:rsidRPr="003002B4">
        <w:t xml:space="preserve">, so the funding needs of depository banks do not decrease in sync with the decrease in loan rates, which leads to a deterioration in interest margins and, consequently, profitability (Altavilla et al.,2018). Regarding the second size effect, Heider et al. (2019) found that the ECB's imposition of negative interest rates has prompted banks with high deposits to take more risk by lending to borrowers with a wide range of return on assets than banks with low deposits. In contrast, the empirical analysis of 9421 banks conducted by </w:t>
      </w:r>
      <w:proofErr w:type="spellStart"/>
      <w:r w:rsidRPr="003002B4">
        <w:t>Boungou</w:t>
      </w:r>
      <w:proofErr w:type="spellEnd"/>
      <w:r w:rsidRPr="003002B4">
        <w:t xml:space="preserve"> (2020) has indicated that the banks were less risk-taking in the countries that have entered the territory on negative rates. In addition, the author specified that the impact is dependent on the country’s size and level of capitalization. </w:t>
      </w:r>
    </w:p>
    <w:p w14:paraId="55B30176" w14:textId="562D6257" w:rsidR="00DC1244" w:rsidRPr="0019397C" w:rsidRDefault="00DC1244" w:rsidP="0019397C">
      <w:pPr>
        <w:spacing w:line="360" w:lineRule="auto"/>
        <w:ind w:firstLine="720"/>
      </w:pPr>
      <w:r w:rsidRPr="0019397C">
        <w:rPr>
          <w:b/>
          <w:bCs/>
          <w:i/>
        </w:rPr>
        <w:t>Asset purchase programmes (APP)</w:t>
      </w:r>
      <w:r w:rsidR="0019397C" w:rsidRPr="0019397C">
        <w:rPr>
          <w:b/>
          <w:bCs/>
          <w:i/>
        </w:rPr>
        <w:t>.</w:t>
      </w:r>
      <w:r w:rsidR="0019397C">
        <w:rPr>
          <w:i/>
        </w:rPr>
        <w:t xml:space="preserve"> </w:t>
      </w:r>
      <w:r w:rsidRPr="003002B4">
        <w:t xml:space="preserve">Central banks around the globe are increasingly using APP, also referred to as Quantitative Easing (QE), to support economic growth and keep inflation close to the target of 2% in the presence of ZLB. There are four types of APP implemented by the ECB, each of them targeting a specific economic sector: corporate sector purchase programme (CSPP), public sector purchase programme (PSPP), asset-backed securities purchase programme (ABSPP), and third covered bond purchase programme (CBPP3) (European Central Bank, </w:t>
      </w:r>
      <w:proofErr w:type="spellStart"/>
      <w:r w:rsidRPr="003002B4">
        <w:t>n.a.</w:t>
      </w:r>
      <w:proofErr w:type="spellEnd"/>
      <w:r w:rsidRPr="003002B4">
        <w:t xml:space="preserve">). One more temporary programme of public and private sector securities was introduced in March </w:t>
      </w:r>
      <w:r w:rsidRPr="003002B4">
        <w:lastRenderedPageBreak/>
        <w:t xml:space="preserve">2020, namely pandemic emergency purchase programme (PEPP). The measure was initiated to manage the risks posed by the COVID-19 virus spread (European Central Bank, </w:t>
      </w:r>
      <w:proofErr w:type="spellStart"/>
      <w:r w:rsidRPr="003002B4">
        <w:t>n.a.</w:t>
      </w:r>
      <w:proofErr w:type="spellEnd"/>
      <w:r w:rsidRPr="003002B4">
        <w:t>).</w:t>
      </w:r>
    </w:p>
    <w:p w14:paraId="2FB20BAA" w14:textId="5F6B84BF" w:rsidR="00DC1244" w:rsidRPr="003002B4" w:rsidRDefault="00DC1244" w:rsidP="005421B4">
      <w:pPr>
        <w:spacing w:line="360" w:lineRule="auto"/>
        <w:ind w:firstLine="720"/>
      </w:pPr>
      <w:r w:rsidRPr="003002B4">
        <w:t xml:space="preserve">Not to mention, many researchers are trying to examine different effects posed by APP. </w:t>
      </w:r>
      <w:proofErr w:type="spellStart"/>
      <w:r w:rsidRPr="003002B4">
        <w:t>Andrande</w:t>
      </w:r>
      <w:proofErr w:type="spellEnd"/>
      <w:r w:rsidRPr="003002B4">
        <w:t xml:space="preserve"> et al. (2016) stated that asset purchase as a single event does not bring a lot of information to the market, therefore does not induce a significant effect on asset prices. The authors concluded that purchase itself can influence asset prices only on the first day at best. Regarding the macroeconomic effects of APP, </w:t>
      </w:r>
      <w:proofErr w:type="spellStart"/>
      <w:r w:rsidRPr="003002B4">
        <w:t>Gambetti</w:t>
      </w:r>
      <w:proofErr w:type="spellEnd"/>
      <w:r w:rsidRPr="003002B4">
        <w:t xml:space="preserve"> and </w:t>
      </w:r>
      <w:proofErr w:type="spellStart"/>
      <w:r w:rsidRPr="003002B4">
        <w:t>Musso</w:t>
      </w:r>
      <w:proofErr w:type="spellEnd"/>
      <w:r w:rsidRPr="003002B4">
        <w:t xml:space="preserve"> (2017) found evidence of a compelling positive effect on both real GDP and HICP inflation caused by APP introduced in January 2015. Conjointly, </w:t>
      </w:r>
      <w:proofErr w:type="spellStart"/>
      <w:r w:rsidRPr="003002B4">
        <w:t>Antal</w:t>
      </w:r>
      <w:proofErr w:type="spellEnd"/>
      <w:r w:rsidRPr="003002B4">
        <w:t xml:space="preserve"> and </w:t>
      </w:r>
      <w:proofErr w:type="spellStart"/>
      <w:r w:rsidRPr="003002B4">
        <w:t>Kaszab</w:t>
      </w:r>
      <w:proofErr w:type="spellEnd"/>
      <w:r w:rsidRPr="003002B4">
        <w:t xml:space="preserve"> (2021) scrutinized spillover effects of APP on non-eurozone CEE countries. With the help of panel regression, the authors discovered that there was a 1-6 basis point decrease in the long-term bond yields of the observed countries. Similar but slightly bigger results were identified by Georgiadis and </w:t>
      </w:r>
      <w:proofErr w:type="spellStart"/>
      <w:r w:rsidRPr="003002B4">
        <w:t>Gräb</w:t>
      </w:r>
      <w:proofErr w:type="spellEnd"/>
      <w:r w:rsidRPr="003002B4">
        <w:t xml:space="preserve"> (2016), who covered a wider range of non-eurozone countries. The analysis of the recent APP implemented, namely PEPP, demonstrated that the announcements of PEPP led to a reduction of bond yields, and had no effect on domestic currencies and equities. Although the instantaneous effect seems to be positive, it is still difficult to draw any conclusions about the longer-term effects (Sever et al., 2020).</w:t>
      </w:r>
    </w:p>
    <w:p w14:paraId="5C7655BE" w14:textId="13AF1376" w:rsidR="00DC1244" w:rsidRPr="00B444F1" w:rsidRDefault="00042406" w:rsidP="00B444F1">
      <w:pPr>
        <w:pStyle w:val="Heading2"/>
        <w:rPr>
          <w:i w:val="0"/>
          <w:iCs w:val="0"/>
        </w:rPr>
      </w:pPr>
      <w:bookmarkStart w:id="18" w:name="_Toc99919334"/>
      <w:r w:rsidRPr="00B444F1">
        <w:rPr>
          <w:i w:val="0"/>
          <w:iCs w:val="0"/>
        </w:rPr>
        <w:t xml:space="preserve">2.4 </w:t>
      </w:r>
      <w:r w:rsidR="00DC1244" w:rsidRPr="00B444F1">
        <w:rPr>
          <w:i w:val="0"/>
          <w:iCs w:val="0"/>
        </w:rPr>
        <w:t>Empirical evidence of the spillover effects from the unconventional monetary policy tools</w:t>
      </w:r>
      <w:bookmarkEnd w:id="18"/>
    </w:p>
    <w:p w14:paraId="42C443D3" w14:textId="2E28B9A6" w:rsidR="00DC1244" w:rsidRPr="003002B4" w:rsidRDefault="00DC1244" w:rsidP="00903A06">
      <w:pPr>
        <w:spacing w:line="360" w:lineRule="auto"/>
        <w:ind w:firstLine="720"/>
      </w:pPr>
      <w:r w:rsidRPr="003002B4">
        <w:t xml:space="preserve">With the support of unconventional monetary policy tools, central banks are extending their effect not only on the domestic economies, but also to the countries with whom there is established a </w:t>
      </w:r>
      <w:proofErr w:type="gramStart"/>
      <w:r w:rsidRPr="003002B4">
        <w:t>stronger economic or financial ties</w:t>
      </w:r>
      <w:proofErr w:type="gramEnd"/>
      <w:r w:rsidRPr="003002B4">
        <w:t>. In this paper, we will study explicitly the spillover effects on EU non-eurozone countries, i.e., Romania, Poland, Hungary, and the Czech Republic as they have established a robust economic connection that provides a basis for the transmission mechanisms of ECB monetary policies (Stann et al., 20</w:t>
      </w:r>
      <w:r w:rsidR="000E2110">
        <w:t>20</w:t>
      </w:r>
      <w:r w:rsidRPr="003002B4">
        <w:t xml:space="preserve">). </w:t>
      </w:r>
    </w:p>
    <w:p w14:paraId="5FA4891A" w14:textId="77777777" w:rsidR="00DC1244" w:rsidRPr="003002B4" w:rsidRDefault="00DC1244" w:rsidP="00903A06">
      <w:pPr>
        <w:spacing w:line="360" w:lineRule="auto"/>
        <w:ind w:firstLine="720"/>
      </w:pPr>
      <w:r w:rsidRPr="003002B4">
        <w:t xml:space="preserve">Given the fundamental changes in ECB monetary policy after the GFC, more and more researchers are trying to study the difference in responses to the conventional and unconventional monetary policy instruments. For example, </w:t>
      </w:r>
      <w:proofErr w:type="spellStart"/>
      <w:r w:rsidRPr="003002B4">
        <w:t>Babecká</w:t>
      </w:r>
      <w:proofErr w:type="spellEnd"/>
      <w:r w:rsidRPr="003002B4">
        <w:t xml:space="preserve"> et al. (2016) decomposed the synthetic monetary conditions index (MCI) into traditional and </w:t>
      </w:r>
      <w:proofErr w:type="spellStart"/>
      <w:r w:rsidRPr="003002B4">
        <w:t>nontraditional</w:t>
      </w:r>
      <w:proofErr w:type="spellEnd"/>
      <w:r w:rsidRPr="003002B4">
        <w:t xml:space="preserve"> monetary policy instruments to see the difference in the effects of the two </w:t>
      </w:r>
      <w:r w:rsidRPr="003002B4">
        <w:lastRenderedPageBreak/>
        <w:t xml:space="preserve">indicators. According to their findings, the Unconventional Monetary Policy (UMP) transmission in the six non-EMU countries is markedly different from the Conventional Monetary Policy (CMP) transmission, with UMP transmission being slower than the CPM transmission. </w:t>
      </w:r>
    </w:p>
    <w:p w14:paraId="39598276" w14:textId="55BCA73E" w:rsidR="00DC1244" w:rsidRPr="003002B4" w:rsidRDefault="00DC1244" w:rsidP="00903A06">
      <w:pPr>
        <w:spacing w:line="360" w:lineRule="auto"/>
        <w:ind w:firstLine="720"/>
      </w:pPr>
      <w:proofErr w:type="spellStart"/>
      <w:r w:rsidRPr="003002B4">
        <w:t>Falagiarda</w:t>
      </w:r>
      <w:proofErr w:type="spellEnd"/>
      <w:r w:rsidRPr="003002B4">
        <w:t xml:space="preserve">, McQuade, and </w:t>
      </w:r>
      <w:proofErr w:type="spellStart"/>
      <w:r w:rsidRPr="003002B4">
        <w:t>Tirpák</w:t>
      </w:r>
      <w:proofErr w:type="spellEnd"/>
      <w:r w:rsidRPr="003002B4">
        <w:t xml:space="preserve"> (2015) studied the spillover effects of ECB’s announcements of UMP on four CEE non-EMU countries, namely the Czech Republic, Hungary, Poland, and Romania. Using an event-study approach the authors found evidence for declining sovereign bond yields in Romania, Poland, and the Czech Republic, whereas the yields of Hungary appeared to be unaffected. </w:t>
      </w:r>
      <w:proofErr w:type="spellStart"/>
      <w:r w:rsidRPr="003002B4">
        <w:t>Kenourgios</w:t>
      </w:r>
      <w:proofErr w:type="spellEnd"/>
      <w:r w:rsidRPr="003002B4">
        <w:t xml:space="preserve">, </w:t>
      </w:r>
      <w:proofErr w:type="spellStart"/>
      <w:r w:rsidRPr="003002B4">
        <w:t>Drakonaki</w:t>
      </w:r>
      <w:proofErr w:type="spellEnd"/>
      <w:r w:rsidRPr="003002B4">
        <w:t xml:space="preserve"> </w:t>
      </w:r>
      <w:r w:rsidR="00B7345E">
        <w:t>&amp;</w:t>
      </w:r>
      <w:r w:rsidRPr="003002B4">
        <w:t xml:space="preserve"> </w:t>
      </w:r>
      <w:proofErr w:type="spellStart"/>
      <w:r w:rsidRPr="003002B4">
        <w:t>Dimitriou</w:t>
      </w:r>
      <w:proofErr w:type="spellEnd"/>
      <w:r w:rsidRPr="003002B4">
        <w:t xml:space="preserve"> (2019) used a dynamic conditional correlation analysis to scrutinize the UMP spillover effects produced during several UMP periods in 4 developed markets and 11 emerging market economies, including South Korea and Turkey. The authors observed spillover effects on both the economies and financial markets of the studied countries, not to mention it is observed to be more accentuated than the one coming from CMPs. The overall results were in line with the ones presented by </w:t>
      </w:r>
      <w:proofErr w:type="spellStart"/>
      <w:r w:rsidRPr="003002B4">
        <w:t>Falagiarda</w:t>
      </w:r>
      <w:proofErr w:type="spellEnd"/>
      <w:r w:rsidRPr="003002B4">
        <w:t xml:space="preserve"> et al. (2015), Varghese and Zhang, (2018).  By distinguishing the effects between different types of the UMP, according to </w:t>
      </w:r>
      <w:proofErr w:type="spellStart"/>
      <w:r w:rsidRPr="003002B4">
        <w:t>Falagiarda</w:t>
      </w:r>
      <w:proofErr w:type="spellEnd"/>
      <w:r w:rsidRPr="003002B4">
        <w:t xml:space="preserve"> et al. (2015) the strongest spillover effects were caused by Security Markets Program (SMP), whereas the announcements of Outright Monetary Transactions (OMT) and Public Sector Purchase Program (PSPP) induced less significant effects on the CEE countries. Other research, including Georgiadis and </w:t>
      </w:r>
      <w:proofErr w:type="spellStart"/>
      <w:r w:rsidRPr="003002B4">
        <w:t>Gräb</w:t>
      </w:r>
      <w:proofErr w:type="spellEnd"/>
      <w:r w:rsidRPr="003002B4">
        <w:t xml:space="preserve"> (2016) also claimed about the declining response of bond yields to APP. </w:t>
      </w:r>
    </w:p>
    <w:p w14:paraId="39EEC375" w14:textId="77777777" w:rsidR="00DC1244" w:rsidRPr="003002B4" w:rsidRDefault="00DC1244" w:rsidP="00903A06">
      <w:pPr>
        <w:spacing w:line="360" w:lineRule="auto"/>
        <w:ind w:firstLine="720"/>
      </w:pPr>
      <w:r w:rsidRPr="003002B4">
        <w:t xml:space="preserve">Although a broad range of previous research concluded about the negative response of interest rates to the monetary policy tools, there is empirical evidence that does not support this position. Karadi and </w:t>
      </w:r>
      <w:proofErr w:type="spellStart"/>
      <w:r w:rsidRPr="003002B4">
        <w:t>Nakov</w:t>
      </w:r>
      <w:proofErr w:type="spellEnd"/>
      <w:r w:rsidRPr="003002B4">
        <w:t xml:space="preserve"> (2021) study the efficiency of QE to offsetting the financial distress and reveal that Asset Purchase Programs can lead to an increase in interest rates in case of “insufficient” easing. On the other hand, as pointed out by </w:t>
      </w:r>
      <w:proofErr w:type="spellStart"/>
      <w:r w:rsidRPr="003002B4">
        <w:t>Kolasa</w:t>
      </w:r>
      <w:proofErr w:type="spellEnd"/>
      <w:r w:rsidRPr="003002B4">
        <w:t xml:space="preserve"> and </w:t>
      </w:r>
      <w:proofErr w:type="spellStart"/>
      <w:r w:rsidRPr="003002B4">
        <w:t>Wesolowski</w:t>
      </w:r>
      <w:proofErr w:type="spellEnd"/>
      <w:r w:rsidRPr="003002B4">
        <w:t xml:space="preserve"> (2020), the different response of countries to the QE shocks can be attributable to a large extent to such factors as the financial institutions of the emerging countries. The author employs the conclusion of </w:t>
      </w:r>
      <w:proofErr w:type="spellStart"/>
      <w:r w:rsidRPr="003002B4">
        <w:t>Fratzcher</w:t>
      </w:r>
      <w:proofErr w:type="spellEnd"/>
      <w:r w:rsidRPr="003002B4">
        <w:t xml:space="preserve"> et. al (2018), who points out to that the stronger are the financial institutions in the small emerging countries, the more capable are they in isolating the economy of the QE spillover.</w:t>
      </w:r>
    </w:p>
    <w:p w14:paraId="17CD2A23" w14:textId="7C49DF67" w:rsidR="00DC1244" w:rsidRPr="003002B4" w:rsidRDefault="00DC1244" w:rsidP="00903A06">
      <w:pPr>
        <w:spacing w:line="360" w:lineRule="auto"/>
        <w:ind w:firstLine="720"/>
      </w:pPr>
      <w:r w:rsidRPr="003002B4">
        <w:t xml:space="preserve">Polis </w:t>
      </w:r>
      <w:r w:rsidR="00B7345E">
        <w:t xml:space="preserve">&amp; </w:t>
      </w:r>
      <w:proofErr w:type="spellStart"/>
      <w:r w:rsidRPr="003002B4">
        <w:t>Pietrunti</w:t>
      </w:r>
      <w:proofErr w:type="spellEnd"/>
      <w:r w:rsidRPr="003002B4">
        <w:t xml:space="preserve"> (2019) investigated the impact of UMPs on the exchange rate by employing a New-Keynesian model. The authors mention that as a result to the </w:t>
      </w:r>
      <w:r w:rsidRPr="003002B4">
        <w:lastRenderedPageBreak/>
        <w:t xml:space="preserve">implementation on the policies, the euro significantly depreciated. While comparing the effects of UMP and CMP, </w:t>
      </w:r>
      <w:proofErr w:type="spellStart"/>
      <w:r w:rsidRPr="003002B4">
        <w:t>Kucharčuková</w:t>
      </w:r>
      <w:proofErr w:type="spellEnd"/>
      <w:r w:rsidRPr="003002B4">
        <w:t xml:space="preserve"> (2014), found that both types of monetary policies lead to the depreciation of the domestic currency in the five out of six non-EMU countries observed, with a stronger impact posed by UMP. Moreover, the author also has mentioned that the observed effect is partly mediated </w:t>
      </w:r>
      <w:r w:rsidR="007350D0">
        <w:t>“</w:t>
      </w:r>
      <w:r w:rsidRPr="003002B4">
        <w:t>by the endogenous response of domestic short-term interest rates</w:t>
      </w:r>
      <w:r w:rsidR="007350D0">
        <w:t>”</w:t>
      </w:r>
      <w:r w:rsidRPr="003002B4">
        <w:t xml:space="preserve">. </w:t>
      </w:r>
    </w:p>
    <w:p w14:paraId="34D630E5" w14:textId="0EF4A428" w:rsidR="00DC1244" w:rsidRPr="003002B4" w:rsidRDefault="00DC1244" w:rsidP="00903A06">
      <w:pPr>
        <w:spacing w:line="360" w:lineRule="auto"/>
        <w:ind w:firstLine="720"/>
      </w:pPr>
      <w:proofErr w:type="spellStart"/>
      <w:r w:rsidRPr="003002B4">
        <w:t>Moder</w:t>
      </w:r>
      <w:proofErr w:type="spellEnd"/>
      <w:r w:rsidRPr="003002B4">
        <w:t xml:space="preserve"> (201</w:t>
      </w:r>
      <w:r w:rsidR="00B7345E">
        <w:t>7</w:t>
      </w:r>
      <w:r w:rsidRPr="003002B4">
        <w:t xml:space="preserve">) employed a bilateral structural VAR (BVAR) model to check for macroeconomic cross-border effects caused by the ECB’s UMPs. The empirical results for exchange rate responses were muted, which, according to the author, can be justified by relatively stable exchange rates in the observed period. Similarly, Horvath </w:t>
      </w:r>
      <w:r w:rsidR="00BF2E6D">
        <w:t xml:space="preserve">&amp; </w:t>
      </w:r>
      <w:proofErr w:type="spellStart"/>
      <w:r w:rsidRPr="003002B4">
        <w:t>Voslarova</w:t>
      </w:r>
      <w:proofErr w:type="spellEnd"/>
      <w:r w:rsidRPr="003002B4">
        <w:t xml:space="preserve"> (2017) were scrutinizing the spillover effects posed by ECB’s UMPs. As a measure of unconventional policy, the authors used the shadow rate along with central bank assets. Employing both variance decompositions and impulse responses, the effect of the real exchange rate in the observed countries appeared to be insignificant. </w:t>
      </w:r>
    </w:p>
    <w:p w14:paraId="252BDB4A" w14:textId="55666210" w:rsidR="002A3444" w:rsidRDefault="00DC1244" w:rsidP="00BF2E6D">
      <w:pPr>
        <w:spacing w:line="360" w:lineRule="auto"/>
        <w:ind w:firstLine="720"/>
      </w:pPr>
      <w:r w:rsidRPr="003002B4">
        <w:t xml:space="preserve">So far, the literature extensively studied the ECB monetary policy </w:t>
      </w:r>
      <w:proofErr w:type="spellStart"/>
      <w:r w:rsidRPr="003002B4">
        <w:t>spillovers</w:t>
      </w:r>
      <w:proofErr w:type="spellEnd"/>
      <w:r w:rsidRPr="003002B4">
        <w:t xml:space="preserve"> to adjacent countries, including the CEE region, that as discussed consists in significant trading relationships with euro area countries which fortifies the cross-border effects. However, there is still no consensus on the significance of the effect of monetary </w:t>
      </w:r>
      <w:proofErr w:type="spellStart"/>
      <w:r w:rsidRPr="003002B4">
        <w:t>spillovers</w:t>
      </w:r>
      <w:proofErr w:type="spellEnd"/>
      <w:r w:rsidRPr="003002B4">
        <w:t xml:space="preserve">, which can be on account of the interpretation of monetary </w:t>
      </w:r>
      <w:proofErr w:type="spellStart"/>
      <w:proofErr w:type="gramStart"/>
      <w:r w:rsidRPr="003002B4">
        <w:t>spillovers</w:t>
      </w:r>
      <w:proofErr w:type="spellEnd"/>
      <w:r w:rsidRPr="003002B4">
        <w:t xml:space="preserve"> as a whole</w:t>
      </w:r>
      <w:proofErr w:type="gramEnd"/>
      <w:r w:rsidRPr="003002B4">
        <w:t xml:space="preserve">. We want to further investigate this gap in the literature by employing distinct shocks produced by the announcement of monetary policies, which we will retrieve from the EA-MPD database (Altavilla et al., 2019a). Thus, we will be able to study in more depth their effect on CEE countries and attribute the </w:t>
      </w:r>
      <w:proofErr w:type="spellStart"/>
      <w:r w:rsidRPr="003002B4">
        <w:t>spillovers</w:t>
      </w:r>
      <w:proofErr w:type="spellEnd"/>
      <w:r w:rsidRPr="003002B4">
        <w:t xml:space="preserve"> to one, or another shock. What is more, by extending the </w:t>
      </w:r>
      <w:proofErr w:type="gramStart"/>
      <w:r w:rsidRPr="003002B4">
        <w:t>time period</w:t>
      </w:r>
      <w:proofErr w:type="gramEnd"/>
      <w:r w:rsidRPr="003002B4">
        <w:t xml:space="preserve"> as compared to the previous research, we are interested in capturing the effects of more recent policies, as for example the ones employed as a reaction to the Covid-19 crisis. </w:t>
      </w:r>
    </w:p>
    <w:p w14:paraId="53CCE8C9" w14:textId="61710172" w:rsidR="00E91B5B" w:rsidRDefault="00E91B5B" w:rsidP="00BF2E6D">
      <w:pPr>
        <w:spacing w:line="360" w:lineRule="auto"/>
        <w:ind w:firstLine="720"/>
      </w:pPr>
    </w:p>
    <w:p w14:paraId="47514D9A" w14:textId="5F472485" w:rsidR="00E91B5B" w:rsidRDefault="00E91B5B" w:rsidP="00BF2E6D">
      <w:pPr>
        <w:spacing w:line="360" w:lineRule="auto"/>
        <w:ind w:firstLine="720"/>
      </w:pPr>
    </w:p>
    <w:p w14:paraId="4750DB68" w14:textId="1ABDA65B" w:rsidR="00E91B5B" w:rsidRDefault="00E91B5B" w:rsidP="00BF2E6D">
      <w:pPr>
        <w:spacing w:line="360" w:lineRule="auto"/>
        <w:ind w:firstLine="720"/>
      </w:pPr>
    </w:p>
    <w:p w14:paraId="78A3B9A9" w14:textId="34E5D375" w:rsidR="00E91B5B" w:rsidRDefault="00E91B5B" w:rsidP="00BF2E6D">
      <w:pPr>
        <w:spacing w:line="360" w:lineRule="auto"/>
        <w:ind w:firstLine="720"/>
      </w:pPr>
    </w:p>
    <w:p w14:paraId="6FEDFF9A" w14:textId="23E76FF6" w:rsidR="00E91B5B" w:rsidRDefault="00E91B5B" w:rsidP="00BF2E6D">
      <w:pPr>
        <w:spacing w:line="360" w:lineRule="auto"/>
        <w:ind w:firstLine="720"/>
      </w:pPr>
    </w:p>
    <w:p w14:paraId="00BEF994" w14:textId="23635516" w:rsidR="00E91B5B" w:rsidRDefault="00E91B5B" w:rsidP="00BF2E6D">
      <w:pPr>
        <w:spacing w:line="360" w:lineRule="auto"/>
        <w:ind w:firstLine="720"/>
      </w:pPr>
    </w:p>
    <w:p w14:paraId="34C3FF57" w14:textId="5717717C" w:rsidR="00E91B5B" w:rsidRDefault="00E91B5B" w:rsidP="00BF2E6D">
      <w:pPr>
        <w:spacing w:line="360" w:lineRule="auto"/>
        <w:ind w:firstLine="720"/>
      </w:pPr>
    </w:p>
    <w:p w14:paraId="6B44BBB7" w14:textId="0D943D7A" w:rsidR="00E91B5B" w:rsidRDefault="00E91B5B" w:rsidP="005922B2">
      <w:pPr>
        <w:spacing w:line="360" w:lineRule="auto"/>
      </w:pPr>
    </w:p>
    <w:p w14:paraId="2F0B7E30" w14:textId="77777777" w:rsidR="00E91B5B" w:rsidRPr="00DC1244" w:rsidRDefault="00E91B5B" w:rsidP="005922B2">
      <w:pPr>
        <w:spacing w:line="360" w:lineRule="auto"/>
      </w:pPr>
    </w:p>
    <w:p w14:paraId="5E7E61D0" w14:textId="090A43F1" w:rsidR="00DB2890" w:rsidRDefault="00DB2890" w:rsidP="00E85038">
      <w:pPr>
        <w:pStyle w:val="Heading1"/>
        <w:jc w:val="center"/>
      </w:pPr>
      <w:bookmarkStart w:id="19" w:name="_Toc371588564"/>
      <w:bookmarkStart w:id="20" w:name="_Toc99919335"/>
      <w:r>
        <w:t xml:space="preserve">3. </w:t>
      </w:r>
      <w:r w:rsidR="000C6BED">
        <w:t>Methodology</w:t>
      </w:r>
      <w:bookmarkEnd w:id="14"/>
      <w:bookmarkEnd w:id="19"/>
      <w:bookmarkEnd w:id="20"/>
    </w:p>
    <w:p w14:paraId="6B5B2AF0" w14:textId="4EBB90A4" w:rsidR="00DB2890" w:rsidRPr="00E748B9" w:rsidRDefault="00DB2890" w:rsidP="00DB2890">
      <w:pPr>
        <w:spacing w:before="240" w:after="160" w:line="360" w:lineRule="auto"/>
      </w:pPr>
      <w:r w:rsidRPr="00E748B9">
        <w:t xml:space="preserve">We use the Vector Autoregressive with Exogenous Variable model (VARX) to study the spillover effects of the ECB </w:t>
      </w:r>
      <w:r w:rsidR="00E47900">
        <w:t xml:space="preserve">UMP </w:t>
      </w:r>
      <w:r w:rsidRPr="00E748B9">
        <w:t xml:space="preserve">tools on the economies of four </w:t>
      </w:r>
      <w:proofErr w:type="spellStart"/>
      <w:r w:rsidRPr="00E748B9">
        <w:t>neighboring</w:t>
      </w:r>
      <w:proofErr w:type="spellEnd"/>
      <w:r w:rsidRPr="00E748B9">
        <w:t xml:space="preserve"> European Union member states which, however, are not part of the monetary union. The choice of VARX model is motivated by the fact that we include both endogenous and exogenous variables in our empirical analysis (</w:t>
      </w:r>
      <w:proofErr w:type="spellStart"/>
      <w:r w:rsidRPr="00E748B9">
        <w:t>Warsono</w:t>
      </w:r>
      <w:proofErr w:type="spellEnd"/>
      <w:r w:rsidRPr="00E748B9">
        <w:t>, et al., 2019). The model can be expressed as follows:</w:t>
      </w:r>
    </w:p>
    <w:p w14:paraId="238B222A" w14:textId="77777777" w:rsidR="00DB2890" w:rsidRPr="00E748B9" w:rsidRDefault="00DB2890" w:rsidP="00DB2890">
      <w:pPr>
        <w:spacing w:before="240" w:after="160" w:line="360" w:lineRule="auto"/>
        <w:jc w:val="center"/>
      </w:pPr>
      <w:proofErr w:type="spellStart"/>
      <w:r w:rsidRPr="00E748B9">
        <w:t>y</w:t>
      </w:r>
      <w:r w:rsidRPr="00E748B9">
        <w:rPr>
          <w:vertAlign w:val="subscript"/>
        </w:rPr>
        <w:t>jt</w:t>
      </w:r>
      <w:proofErr w:type="spellEnd"/>
      <w:r w:rsidRPr="00E748B9">
        <w:rPr>
          <w:vertAlign w:val="subscript"/>
        </w:rPr>
        <w:t xml:space="preserve"> </w:t>
      </w:r>
      <w:r w:rsidRPr="00E748B9">
        <w:t>= v</w:t>
      </w:r>
      <w:r w:rsidRPr="00E748B9">
        <w:rPr>
          <w:vertAlign w:val="subscript"/>
        </w:rPr>
        <w:t>j</w:t>
      </w:r>
      <w:r w:rsidRPr="00E748B9">
        <w:t>+Bj</w:t>
      </w:r>
      <w:r w:rsidRPr="00E748B9">
        <w:rPr>
          <w:vertAlign w:val="subscript"/>
        </w:rPr>
        <w:t>1</w:t>
      </w:r>
      <w:r w:rsidRPr="00E748B9">
        <w:t>y</w:t>
      </w:r>
      <w:r w:rsidRPr="00E748B9">
        <w:rPr>
          <w:vertAlign w:val="subscript"/>
        </w:rPr>
        <w:t>t-1</w:t>
      </w:r>
      <w:r w:rsidRPr="00E748B9">
        <w:t>+…+B</w:t>
      </w:r>
      <w:r w:rsidRPr="00E748B9">
        <w:rPr>
          <w:vertAlign w:val="subscript"/>
        </w:rPr>
        <w:t>p</w:t>
      </w:r>
      <w:r w:rsidRPr="00E748B9">
        <w:t>y</w:t>
      </w:r>
      <w:r w:rsidRPr="00E748B9">
        <w:rPr>
          <w:vertAlign w:val="subscript"/>
        </w:rPr>
        <w:t>t-p</w:t>
      </w:r>
      <w:r w:rsidRPr="00E748B9">
        <w:t>+D</w:t>
      </w:r>
      <w:r w:rsidRPr="00E748B9">
        <w:rPr>
          <w:vertAlign w:val="subscript"/>
        </w:rPr>
        <w:t>0</w:t>
      </w:r>
      <w:r w:rsidRPr="00E748B9">
        <w:t>x</w:t>
      </w:r>
      <w:r w:rsidRPr="00E748B9">
        <w:rPr>
          <w:vertAlign w:val="subscript"/>
        </w:rPr>
        <w:t>t</w:t>
      </w:r>
      <w:r w:rsidRPr="00E748B9">
        <w:t>+…+</w:t>
      </w:r>
      <w:proofErr w:type="spellStart"/>
      <w:r w:rsidRPr="00E748B9">
        <w:t>D</w:t>
      </w:r>
      <w:r w:rsidRPr="00E748B9">
        <w:rPr>
          <w:vertAlign w:val="subscript"/>
        </w:rPr>
        <w:t>q</w:t>
      </w:r>
      <w:r w:rsidRPr="00E748B9">
        <w:t>x</w:t>
      </w:r>
      <w:r w:rsidRPr="00E748B9">
        <w:rPr>
          <w:vertAlign w:val="subscript"/>
        </w:rPr>
        <w:t>t-q</w:t>
      </w:r>
      <w:r w:rsidRPr="00E748B9">
        <w:t>+</w:t>
      </w:r>
      <w:proofErr w:type="gramStart"/>
      <w:r w:rsidRPr="00E748B9">
        <w:t>e</w:t>
      </w:r>
      <w:r w:rsidRPr="00E748B9">
        <w:rPr>
          <w:vertAlign w:val="subscript"/>
        </w:rPr>
        <w:t>t</w:t>
      </w:r>
      <w:proofErr w:type="spellEnd"/>
      <w:r w:rsidRPr="00E748B9">
        <w:rPr>
          <w:vertAlign w:val="subscript"/>
        </w:rPr>
        <w:t xml:space="preserve">,   </w:t>
      </w:r>
      <w:proofErr w:type="gramEnd"/>
      <w:r w:rsidRPr="00E748B9">
        <w:rPr>
          <w:vertAlign w:val="subscript"/>
        </w:rPr>
        <w:t xml:space="preserve">                             </w:t>
      </w:r>
      <w:r w:rsidRPr="00E748B9">
        <w:rPr>
          <w:vertAlign w:val="subscript"/>
        </w:rPr>
        <w:tab/>
      </w:r>
      <w:r w:rsidRPr="00E748B9">
        <w:t>(1)</w:t>
      </w:r>
    </w:p>
    <w:p w14:paraId="2BAA6B2B" w14:textId="4AC843FB" w:rsidR="00DB2890" w:rsidRPr="00E748B9" w:rsidRDefault="00DB2890" w:rsidP="00903A06">
      <w:pPr>
        <w:spacing w:line="360" w:lineRule="auto"/>
        <w:ind w:firstLine="720"/>
      </w:pPr>
      <w:r w:rsidRPr="00E748B9">
        <w:t xml:space="preserve">where </w:t>
      </w:r>
      <w:proofErr w:type="spellStart"/>
      <w:r w:rsidRPr="00E748B9">
        <w:t>v</w:t>
      </w:r>
      <w:r w:rsidRPr="00E748B9">
        <w:rPr>
          <w:vertAlign w:val="subscript"/>
        </w:rPr>
        <w:t>j</w:t>
      </w:r>
      <w:proofErr w:type="spellEnd"/>
      <w:r w:rsidRPr="00E748B9">
        <w:t xml:space="preserve"> is a vector of intercepts, </w:t>
      </w:r>
      <w:proofErr w:type="spellStart"/>
      <w:r w:rsidRPr="00E748B9">
        <w:t>y</w:t>
      </w:r>
      <w:r w:rsidRPr="00E748B9">
        <w:rPr>
          <w:vertAlign w:val="subscript"/>
        </w:rPr>
        <w:t>jt</w:t>
      </w:r>
      <w:proofErr w:type="spellEnd"/>
      <w:r w:rsidRPr="00E748B9">
        <w:t xml:space="preserve"> is a vector of 5 endogenous variables macro-financial variables for CEE countries. These include inflation, money market interest rate, GDP, bilateral exchange rate between EUR and the respective domestic currency, and stock returns index. B</w:t>
      </w:r>
      <w:r w:rsidRPr="00903A06">
        <w:t xml:space="preserve"> </w:t>
      </w:r>
      <w:r w:rsidRPr="00E748B9">
        <w:t>are the respective regression coefficients. The lag length of 1 was chosen according to several criteria like AIC, HQ, SC, and FPE.</w:t>
      </w:r>
    </w:p>
    <w:p w14:paraId="3A04C596" w14:textId="68361F98" w:rsidR="00DB2890" w:rsidRDefault="00DB2890" w:rsidP="00903A06">
      <w:pPr>
        <w:spacing w:line="360" w:lineRule="auto"/>
        <w:ind w:firstLine="720"/>
      </w:pPr>
      <w:proofErr w:type="spellStart"/>
      <w:r w:rsidRPr="00E748B9">
        <w:t>x</w:t>
      </w:r>
      <w:r w:rsidRPr="00BF2E6D">
        <w:rPr>
          <w:vertAlign w:val="subscript"/>
        </w:rPr>
        <w:t>t</w:t>
      </w:r>
      <w:proofErr w:type="spellEnd"/>
      <w:r w:rsidRPr="00BF2E6D">
        <w:rPr>
          <w:vertAlign w:val="subscript"/>
        </w:rPr>
        <w:t xml:space="preserve"> </w:t>
      </w:r>
      <w:r w:rsidRPr="00E748B9">
        <w:t xml:space="preserve">is a vector that contains six exogenous variables. These include four time-series of </w:t>
      </w:r>
      <w:r w:rsidR="00E47900">
        <w:t>UMP</w:t>
      </w:r>
      <w:r w:rsidRPr="00E748B9">
        <w:t xml:space="preserve"> shocks (explained in detail in the next subsection) and two variables capturing the macroeconomic conditions in the euro area: inflation and quarter-on-quarter change in GDP</w:t>
      </w:r>
      <w:r w:rsidRPr="00903A06">
        <w:t xml:space="preserve">. </w:t>
      </w:r>
      <w:r>
        <w:t>With this</w:t>
      </w:r>
      <w:r w:rsidRPr="00E748B9">
        <w:t xml:space="preserve"> we </w:t>
      </w:r>
      <w:r>
        <w:t xml:space="preserve">assume </w:t>
      </w:r>
      <w:r w:rsidRPr="00E748B9">
        <w:t xml:space="preserve">that euro area macroeconomic developments are likely to be exogenous to the domestic developments in four small CEE economies. All exogenous variables are taken in the first difference with 1 lag. The model is assumed to be stable, and the exogenous variables not being correlated with the residual e. Table 1 provides a list of all variables used in equation (1) with the respective sources. </w:t>
      </w:r>
    </w:p>
    <w:p w14:paraId="6016E09B" w14:textId="22A8089C" w:rsidR="00903A06" w:rsidRDefault="00903A06" w:rsidP="00BF2E6D">
      <w:pPr>
        <w:spacing w:line="360" w:lineRule="auto"/>
        <w:ind w:firstLine="720"/>
      </w:pPr>
      <w:r w:rsidRPr="00E748B9">
        <w:t xml:space="preserve">Beforehand, the Augmented Dickey-Fuller (ADF) test was conducted to test the stationarity of the variables used in the model. According to the test, most of the time series are stationary in first differences whereas monetary policy shocks are stationary without transformation by </w:t>
      </w:r>
      <w:proofErr w:type="gramStart"/>
      <w:r w:rsidRPr="00E748B9">
        <w:t>definition.</w:t>
      </w:r>
      <w:r w:rsidR="00BF2E6D">
        <w:t>(</w:t>
      </w:r>
      <w:proofErr w:type="gramEnd"/>
      <w:r w:rsidR="00BF2E6D">
        <w:t>Appendix 3)</w:t>
      </w:r>
    </w:p>
    <w:p w14:paraId="235F0524" w14:textId="631D70AC" w:rsidR="00E91B5B" w:rsidRDefault="00E91B5B" w:rsidP="00BF2E6D">
      <w:pPr>
        <w:spacing w:line="360" w:lineRule="auto"/>
        <w:ind w:firstLine="720"/>
      </w:pPr>
    </w:p>
    <w:p w14:paraId="7B7867FF" w14:textId="553AA8F5" w:rsidR="00E91B5B" w:rsidRDefault="00E91B5B" w:rsidP="00BF2E6D">
      <w:pPr>
        <w:spacing w:line="360" w:lineRule="auto"/>
        <w:ind w:firstLine="720"/>
      </w:pPr>
    </w:p>
    <w:p w14:paraId="46709AA4" w14:textId="68E96509" w:rsidR="00E91B5B" w:rsidRDefault="00E91B5B" w:rsidP="00BF2E6D">
      <w:pPr>
        <w:spacing w:line="360" w:lineRule="auto"/>
        <w:ind w:firstLine="720"/>
      </w:pPr>
    </w:p>
    <w:p w14:paraId="5CD5F3D8" w14:textId="16F87CB0" w:rsidR="00E91B5B" w:rsidRDefault="00E91B5B" w:rsidP="00BF2E6D">
      <w:pPr>
        <w:spacing w:line="360" w:lineRule="auto"/>
        <w:ind w:firstLine="720"/>
      </w:pPr>
    </w:p>
    <w:p w14:paraId="55D42FE5" w14:textId="483E5ABA" w:rsidR="00E91B5B" w:rsidRDefault="00E91B5B" w:rsidP="00BF2E6D">
      <w:pPr>
        <w:spacing w:line="360" w:lineRule="auto"/>
        <w:ind w:firstLine="720"/>
      </w:pPr>
    </w:p>
    <w:p w14:paraId="1B2B790D" w14:textId="77777777" w:rsidR="00E91B5B" w:rsidRPr="00E748B9" w:rsidRDefault="00E91B5B" w:rsidP="00BF2E6D">
      <w:pPr>
        <w:spacing w:line="360" w:lineRule="auto"/>
        <w:ind w:firstLine="720"/>
      </w:pPr>
    </w:p>
    <w:tbl>
      <w:tblPr>
        <w:tblW w:w="9493" w:type="dxa"/>
        <w:tblLayout w:type="fixed"/>
        <w:tblLook w:val="0400" w:firstRow="0" w:lastRow="0" w:firstColumn="0" w:lastColumn="0" w:noHBand="0" w:noVBand="1"/>
      </w:tblPr>
      <w:tblGrid>
        <w:gridCol w:w="2475"/>
        <w:gridCol w:w="4324"/>
        <w:gridCol w:w="2694"/>
      </w:tblGrid>
      <w:tr w:rsidR="00DB2890" w:rsidRPr="00E748B9" w14:paraId="072B189B" w14:textId="77777777" w:rsidTr="007F3828">
        <w:trPr>
          <w:trHeight w:val="308"/>
        </w:trPr>
        <w:tc>
          <w:tcPr>
            <w:tcW w:w="24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1CE927" w14:textId="77777777" w:rsidR="00DB2890" w:rsidRPr="00E748B9" w:rsidRDefault="00DB2890" w:rsidP="007F3828">
            <w:pPr>
              <w:spacing w:line="360" w:lineRule="auto"/>
            </w:pPr>
            <w:r w:rsidRPr="00E748B9">
              <w:rPr>
                <w:color w:val="000000"/>
              </w:rPr>
              <w:t>Variable</w:t>
            </w:r>
          </w:p>
        </w:tc>
        <w:tc>
          <w:tcPr>
            <w:tcW w:w="43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2958F5" w14:textId="77777777" w:rsidR="00DB2890" w:rsidRPr="00E748B9" w:rsidRDefault="00DB2890" w:rsidP="007F3828">
            <w:pPr>
              <w:spacing w:line="360" w:lineRule="auto"/>
            </w:pPr>
            <w:r w:rsidRPr="00E748B9">
              <w:rPr>
                <w:color w:val="000000"/>
              </w:rPr>
              <w:t>Description</w:t>
            </w:r>
          </w:p>
        </w:tc>
        <w:tc>
          <w:tcPr>
            <w:tcW w:w="26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46760A" w14:textId="77777777" w:rsidR="00DB2890" w:rsidRPr="00E748B9" w:rsidRDefault="00DB2890" w:rsidP="007F3828">
            <w:pPr>
              <w:spacing w:line="360" w:lineRule="auto"/>
            </w:pPr>
            <w:r w:rsidRPr="00E748B9">
              <w:rPr>
                <w:color w:val="000000"/>
              </w:rPr>
              <w:t>Source</w:t>
            </w:r>
          </w:p>
        </w:tc>
      </w:tr>
      <w:tr w:rsidR="00DB2890" w:rsidRPr="00E748B9" w14:paraId="55EC29AC" w14:textId="77777777" w:rsidTr="007F3828">
        <w:tc>
          <w:tcPr>
            <w:tcW w:w="24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5BA3EA" w14:textId="77777777" w:rsidR="00DB2890" w:rsidRPr="00E748B9" w:rsidRDefault="00DB2890" w:rsidP="007F3828">
            <w:pPr>
              <w:spacing w:line="360" w:lineRule="auto"/>
            </w:pPr>
            <w:r w:rsidRPr="00E748B9">
              <w:rPr>
                <w:color w:val="000000"/>
              </w:rPr>
              <w:t>Domestic Inflation</w:t>
            </w:r>
          </w:p>
        </w:tc>
        <w:tc>
          <w:tcPr>
            <w:tcW w:w="43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AC106E" w14:textId="77777777" w:rsidR="00DB2890" w:rsidRPr="00E748B9" w:rsidRDefault="00DB2890" w:rsidP="007F3828">
            <w:pPr>
              <w:spacing w:line="360" w:lineRule="auto"/>
            </w:pPr>
            <w:r w:rsidRPr="00E748B9">
              <w:rPr>
                <w:color w:val="000000"/>
              </w:rPr>
              <w:t>Monthly frequency Consumer Price Index (CPI)</w:t>
            </w:r>
          </w:p>
        </w:tc>
        <w:tc>
          <w:tcPr>
            <w:tcW w:w="26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FF0192" w14:textId="77777777" w:rsidR="00DB2890" w:rsidRPr="00E748B9" w:rsidRDefault="00DB2890" w:rsidP="007F3828">
            <w:pPr>
              <w:spacing w:line="360" w:lineRule="auto"/>
            </w:pPr>
            <w:r w:rsidRPr="00E748B9">
              <w:rPr>
                <w:color w:val="000000"/>
              </w:rPr>
              <w:t>EUROSTAT</w:t>
            </w:r>
          </w:p>
        </w:tc>
      </w:tr>
      <w:tr w:rsidR="00DB2890" w:rsidRPr="00E748B9" w14:paraId="302D4AA1" w14:textId="77777777" w:rsidTr="007F3828">
        <w:tc>
          <w:tcPr>
            <w:tcW w:w="24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0795BB" w14:textId="77777777" w:rsidR="00DB2890" w:rsidRPr="00E748B9" w:rsidRDefault="00DB2890" w:rsidP="007F3828">
            <w:pPr>
              <w:spacing w:line="360" w:lineRule="auto"/>
            </w:pPr>
            <w:r w:rsidRPr="00E748B9">
              <w:rPr>
                <w:color w:val="000000"/>
              </w:rPr>
              <w:t>Domestic GDP</w:t>
            </w:r>
          </w:p>
        </w:tc>
        <w:tc>
          <w:tcPr>
            <w:tcW w:w="43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081681" w14:textId="77777777" w:rsidR="00DB2890" w:rsidRPr="00E748B9" w:rsidRDefault="00DB2890" w:rsidP="007F3828">
            <w:pPr>
              <w:spacing w:line="360" w:lineRule="auto"/>
            </w:pPr>
            <w:r w:rsidRPr="00E748B9">
              <w:rPr>
                <w:color w:val="000000"/>
              </w:rPr>
              <w:t>Quarterly frequency month-on-month percent change in GDP</w:t>
            </w:r>
          </w:p>
        </w:tc>
        <w:tc>
          <w:tcPr>
            <w:tcW w:w="26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541819" w14:textId="77777777" w:rsidR="00DB2890" w:rsidRPr="00E748B9" w:rsidRDefault="00DB2890" w:rsidP="007F3828">
            <w:pPr>
              <w:spacing w:line="360" w:lineRule="auto"/>
            </w:pPr>
            <w:r w:rsidRPr="00E748B9">
              <w:rPr>
                <w:color w:val="000000"/>
              </w:rPr>
              <w:t>EUROSTAT</w:t>
            </w:r>
          </w:p>
        </w:tc>
      </w:tr>
      <w:tr w:rsidR="00DB2890" w:rsidRPr="00E748B9" w14:paraId="379BA860" w14:textId="77777777" w:rsidTr="007F3828">
        <w:tc>
          <w:tcPr>
            <w:tcW w:w="24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94CA45" w14:textId="77777777" w:rsidR="00DB2890" w:rsidRPr="00E748B9" w:rsidRDefault="00DB2890" w:rsidP="007F3828">
            <w:pPr>
              <w:spacing w:line="360" w:lineRule="auto"/>
            </w:pPr>
            <w:r w:rsidRPr="00E748B9">
              <w:t xml:space="preserve">Domestic Money Market Interest Rate </w:t>
            </w:r>
          </w:p>
        </w:tc>
        <w:tc>
          <w:tcPr>
            <w:tcW w:w="43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20935A" w14:textId="77777777" w:rsidR="00DB2890" w:rsidRPr="00E748B9" w:rsidRDefault="00DB2890" w:rsidP="007F3828">
            <w:pPr>
              <w:spacing w:line="360" w:lineRule="auto"/>
            </w:pPr>
            <w:r w:rsidRPr="00E748B9">
              <w:t>Monthly frequency quarterly adjusted</w:t>
            </w:r>
          </w:p>
        </w:tc>
        <w:tc>
          <w:tcPr>
            <w:tcW w:w="26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C1DF2D" w14:textId="77777777" w:rsidR="00DB2890" w:rsidRPr="00E748B9" w:rsidRDefault="00DB2890" w:rsidP="007F3828">
            <w:pPr>
              <w:spacing w:line="360" w:lineRule="auto"/>
            </w:pPr>
            <w:r w:rsidRPr="00E748B9">
              <w:t>IMF (International Monetary Fund)</w:t>
            </w:r>
          </w:p>
        </w:tc>
      </w:tr>
      <w:tr w:rsidR="00DB2890" w:rsidRPr="00E748B9" w14:paraId="2E6261D4" w14:textId="77777777" w:rsidTr="007F3828">
        <w:tc>
          <w:tcPr>
            <w:tcW w:w="24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973B59" w14:textId="77777777" w:rsidR="00DB2890" w:rsidRPr="00E748B9" w:rsidRDefault="00DB2890" w:rsidP="007F3828">
            <w:pPr>
              <w:spacing w:line="360" w:lineRule="auto"/>
              <w:rPr>
                <w:color w:val="000000"/>
              </w:rPr>
            </w:pPr>
            <w:r w:rsidRPr="00E748B9">
              <w:rPr>
                <w:color w:val="000000"/>
              </w:rPr>
              <w:t xml:space="preserve">Bilateral Exchange Rate </w:t>
            </w:r>
          </w:p>
        </w:tc>
        <w:tc>
          <w:tcPr>
            <w:tcW w:w="43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CCA251" w14:textId="77777777" w:rsidR="00DB2890" w:rsidRPr="00E748B9" w:rsidRDefault="00DB2890" w:rsidP="007F3828">
            <w:pPr>
              <w:spacing w:line="360" w:lineRule="auto"/>
              <w:rPr>
                <w:color w:val="000000"/>
              </w:rPr>
            </w:pPr>
            <w:r w:rsidRPr="00E748B9">
              <w:rPr>
                <w:color w:val="000000"/>
              </w:rPr>
              <w:t>Quarterly frequency month-on-month percent change in the bilateral exchange rate</w:t>
            </w:r>
          </w:p>
        </w:tc>
        <w:tc>
          <w:tcPr>
            <w:tcW w:w="26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7BE739" w14:textId="77777777" w:rsidR="00DB2890" w:rsidRPr="00E748B9" w:rsidRDefault="00DB2890" w:rsidP="007F3828">
            <w:pPr>
              <w:spacing w:line="360" w:lineRule="auto"/>
              <w:rPr>
                <w:color w:val="000000"/>
              </w:rPr>
            </w:pPr>
            <w:r w:rsidRPr="00E748B9">
              <w:rPr>
                <w:color w:val="000000"/>
              </w:rPr>
              <w:t>EUROSTAT</w:t>
            </w:r>
          </w:p>
        </w:tc>
      </w:tr>
      <w:tr w:rsidR="00DB2890" w:rsidRPr="00E748B9" w14:paraId="3565DA08" w14:textId="77777777" w:rsidTr="007F3828">
        <w:tc>
          <w:tcPr>
            <w:tcW w:w="24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4FDFFB" w14:textId="77777777" w:rsidR="00DB2890" w:rsidRPr="00E748B9" w:rsidRDefault="00DB2890" w:rsidP="007F3828">
            <w:pPr>
              <w:spacing w:line="360" w:lineRule="auto"/>
              <w:rPr>
                <w:color w:val="000000"/>
              </w:rPr>
            </w:pPr>
            <w:r w:rsidRPr="00E748B9">
              <w:rPr>
                <w:color w:val="000000"/>
              </w:rPr>
              <w:t>Domestic Stock Returns Index</w:t>
            </w:r>
          </w:p>
        </w:tc>
        <w:tc>
          <w:tcPr>
            <w:tcW w:w="43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504B1F" w14:textId="77777777" w:rsidR="00DB2890" w:rsidRPr="00E748B9" w:rsidRDefault="00DB2890" w:rsidP="007F3828">
            <w:pPr>
              <w:spacing w:line="360" w:lineRule="auto"/>
              <w:rPr>
                <w:color w:val="000000"/>
              </w:rPr>
            </w:pPr>
            <w:r w:rsidRPr="00E748B9">
              <w:rPr>
                <w:color w:val="000000"/>
              </w:rPr>
              <w:t>Quarterly frequency month-on-month percent change in stock returns</w:t>
            </w:r>
          </w:p>
        </w:tc>
        <w:tc>
          <w:tcPr>
            <w:tcW w:w="26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5E9ACF" w14:textId="77777777" w:rsidR="00DB2890" w:rsidRPr="00E748B9" w:rsidRDefault="00DB2890" w:rsidP="007F3828">
            <w:pPr>
              <w:spacing w:line="360" w:lineRule="auto"/>
              <w:rPr>
                <w:color w:val="000000"/>
              </w:rPr>
            </w:pPr>
            <w:r w:rsidRPr="00E748B9">
              <w:t>AMECO</w:t>
            </w:r>
          </w:p>
        </w:tc>
      </w:tr>
      <w:tr w:rsidR="00DB2890" w:rsidRPr="00E748B9" w14:paraId="20DD300A" w14:textId="77777777" w:rsidTr="007F3828">
        <w:tc>
          <w:tcPr>
            <w:tcW w:w="24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6A2ECA" w14:textId="77777777" w:rsidR="00DB2890" w:rsidRPr="00E748B9" w:rsidRDefault="00DB2890" w:rsidP="007F3828">
            <w:pPr>
              <w:spacing w:line="360" w:lineRule="auto"/>
              <w:rPr>
                <w:color w:val="000000"/>
              </w:rPr>
            </w:pPr>
            <w:r w:rsidRPr="00E748B9">
              <w:rPr>
                <w:color w:val="000000"/>
              </w:rPr>
              <w:t>Target Shock</w:t>
            </w:r>
          </w:p>
        </w:tc>
        <w:tc>
          <w:tcPr>
            <w:tcW w:w="43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91B29B" w14:textId="77777777" w:rsidR="00DB2890" w:rsidRPr="00E748B9" w:rsidRDefault="00DB2890" w:rsidP="007F3828">
            <w:pPr>
              <w:spacing w:line="360" w:lineRule="auto"/>
              <w:rPr>
                <w:color w:val="000000"/>
              </w:rPr>
            </w:pPr>
            <w:r w:rsidRPr="00E748B9">
              <w:rPr>
                <w:color w:val="000000"/>
              </w:rPr>
              <w:t xml:space="preserve">Denoted to capture </w:t>
            </w:r>
            <w:r w:rsidRPr="00E748B9">
              <w:t>short-term effects of CB communication policy</w:t>
            </w:r>
          </w:p>
        </w:tc>
        <w:tc>
          <w:tcPr>
            <w:tcW w:w="26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7DB921" w14:textId="77777777" w:rsidR="00DB2890" w:rsidRPr="00E748B9" w:rsidRDefault="00DB2890" w:rsidP="007F3828">
            <w:pPr>
              <w:spacing w:line="360" w:lineRule="auto"/>
              <w:rPr>
                <w:color w:val="000000"/>
              </w:rPr>
            </w:pPr>
            <w:r w:rsidRPr="00E748B9">
              <w:rPr>
                <w:color w:val="000000"/>
              </w:rPr>
              <w:t>EA-MPD database</w:t>
            </w:r>
          </w:p>
          <w:p w14:paraId="6133F224" w14:textId="28757C5B" w:rsidR="00DB2890" w:rsidRPr="00E748B9" w:rsidRDefault="00DB2890" w:rsidP="007F3828">
            <w:pPr>
              <w:spacing w:line="360" w:lineRule="auto"/>
              <w:rPr>
                <w:color w:val="000000"/>
              </w:rPr>
            </w:pPr>
            <w:r w:rsidRPr="00E748B9">
              <w:rPr>
                <w:color w:val="000000"/>
              </w:rPr>
              <w:t>(Altavilla et al., 2019</w:t>
            </w:r>
            <w:r w:rsidR="00FA3733">
              <w:rPr>
                <w:color w:val="000000"/>
              </w:rPr>
              <w:t>a</w:t>
            </w:r>
            <w:r w:rsidRPr="00E748B9">
              <w:rPr>
                <w:color w:val="000000"/>
              </w:rPr>
              <w:t>)</w:t>
            </w:r>
          </w:p>
        </w:tc>
      </w:tr>
      <w:tr w:rsidR="00DB2890" w:rsidRPr="00E748B9" w14:paraId="0CD71E8D" w14:textId="77777777" w:rsidTr="007F3828">
        <w:tc>
          <w:tcPr>
            <w:tcW w:w="24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88A4C1" w14:textId="77777777" w:rsidR="00DB2890" w:rsidRPr="00E748B9" w:rsidRDefault="00DB2890" w:rsidP="007F3828">
            <w:pPr>
              <w:spacing w:line="360" w:lineRule="auto"/>
              <w:rPr>
                <w:color w:val="000000"/>
              </w:rPr>
            </w:pPr>
            <w:r w:rsidRPr="00E748B9">
              <w:rPr>
                <w:color w:val="000000"/>
              </w:rPr>
              <w:t xml:space="preserve">Timing Shock </w:t>
            </w:r>
          </w:p>
        </w:tc>
        <w:tc>
          <w:tcPr>
            <w:tcW w:w="43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2577FF" w14:textId="77777777" w:rsidR="00DB2890" w:rsidRPr="00E748B9" w:rsidRDefault="00DB2890" w:rsidP="007F3828">
            <w:pPr>
              <w:spacing w:line="360" w:lineRule="auto"/>
              <w:rPr>
                <w:color w:val="000000"/>
              </w:rPr>
            </w:pPr>
            <w:r w:rsidRPr="00E748B9">
              <w:rPr>
                <w:color w:val="000000"/>
              </w:rPr>
              <w:t>Denoted to capture mid</w:t>
            </w:r>
            <w:r w:rsidRPr="00E748B9">
              <w:t>-term effects of CB communication policy</w:t>
            </w:r>
          </w:p>
        </w:tc>
        <w:tc>
          <w:tcPr>
            <w:tcW w:w="26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796374" w14:textId="77777777" w:rsidR="00DB2890" w:rsidRPr="00E748B9" w:rsidRDefault="00DB2890" w:rsidP="007F3828">
            <w:pPr>
              <w:spacing w:line="360" w:lineRule="auto"/>
              <w:rPr>
                <w:color w:val="000000"/>
              </w:rPr>
            </w:pPr>
            <w:r w:rsidRPr="00E748B9">
              <w:rPr>
                <w:color w:val="000000"/>
              </w:rPr>
              <w:t>EA-MPD database</w:t>
            </w:r>
          </w:p>
          <w:p w14:paraId="00E92FB0" w14:textId="1AC755A6" w:rsidR="00DB2890" w:rsidRPr="00E748B9" w:rsidRDefault="00DB2890" w:rsidP="007F3828">
            <w:pPr>
              <w:spacing w:line="360" w:lineRule="auto"/>
              <w:rPr>
                <w:color w:val="000000"/>
              </w:rPr>
            </w:pPr>
            <w:r w:rsidRPr="00E748B9">
              <w:rPr>
                <w:color w:val="000000"/>
              </w:rPr>
              <w:t>(Altavilla et al., 2019</w:t>
            </w:r>
            <w:r w:rsidR="00FA3733">
              <w:rPr>
                <w:color w:val="000000"/>
              </w:rPr>
              <w:t>a</w:t>
            </w:r>
            <w:r w:rsidRPr="00E748B9">
              <w:rPr>
                <w:color w:val="000000"/>
              </w:rPr>
              <w:t>)</w:t>
            </w:r>
          </w:p>
        </w:tc>
      </w:tr>
      <w:tr w:rsidR="00DB2890" w:rsidRPr="00E748B9" w14:paraId="4F1E7305" w14:textId="77777777" w:rsidTr="007F3828">
        <w:tc>
          <w:tcPr>
            <w:tcW w:w="24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BBAFC3" w14:textId="77777777" w:rsidR="00DB2890" w:rsidRPr="00E748B9" w:rsidRDefault="00DB2890" w:rsidP="007F3828">
            <w:pPr>
              <w:spacing w:line="360" w:lineRule="auto"/>
              <w:rPr>
                <w:color w:val="000000"/>
              </w:rPr>
            </w:pPr>
            <w:r w:rsidRPr="00E748B9">
              <w:rPr>
                <w:color w:val="000000"/>
              </w:rPr>
              <w:t>Quantitative Easing Shock</w:t>
            </w:r>
          </w:p>
        </w:tc>
        <w:tc>
          <w:tcPr>
            <w:tcW w:w="43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529515" w14:textId="77777777" w:rsidR="00DB2890" w:rsidRPr="00E748B9" w:rsidRDefault="00DB2890" w:rsidP="007F3828">
            <w:pPr>
              <w:spacing w:line="360" w:lineRule="auto"/>
              <w:rPr>
                <w:color w:val="000000"/>
              </w:rPr>
            </w:pPr>
            <w:r w:rsidRPr="00E748B9">
              <w:rPr>
                <w:color w:val="000000"/>
              </w:rPr>
              <w:t>Accounts for long term changes obtained from the press release window</w:t>
            </w:r>
          </w:p>
        </w:tc>
        <w:tc>
          <w:tcPr>
            <w:tcW w:w="26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2E2287" w14:textId="77777777" w:rsidR="00DB2890" w:rsidRPr="00E748B9" w:rsidRDefault="00DB2890" w:rsidP="007F3828">
            <w:pPr>
              <w:spacing w:line="360" w:lineRule="auto"/>
              <w:rPr>
                <w:color w:val="000000"/>
              </w:rPr>
            </w:pPr>
            <w:r w:rsidRPr="00E748B9">
              <w:rPr>
                <w:color w:val="000000"/>
              </w:rPr>
              <w:t>EA-MPD database</w:t>
            </w:r>
          </w:p>
          <w:p w14:paraId="05EF79C0" w14:textId="712CF6E6" w:rsidR="00DB2890" w:rsidRPr="00E748B9" w:rsidRDefault="00DB2890" w:rsidP="007F3828">
            <w:pPr>
              <w:spacing w:line="360" w:lineRule="auto"/>
              <w:rPr>
                <w:color w:val="000000"/>
              </w:rPr>
            </w:pPr>
            <w:r w:rsidRPr="00E748B9">
              <w:rPr>
                <w:color w:val="000000"/>
              </w:rPr>
              <w:t>(Altavilla et al., 2019</w:t>
            </w:r>
            <w:r w:rsidR="00FA3733">
              <w:rPr>
                <w:color w:val="000000"/>
              </w:rPr>
              <w:t>a</w:t>
            </w:r>
            <w:r w:rsidRPr="00E748B9">
              <w:rPr>
                <w:color w:val="000000"/>
              </w:rPr>
              <w:t>)</w:t>
            </w:r>
          </w:p>
        </w:tc>
      </w:tr>
      <w:tr w:rsidR="00DB2890" w:rsidRPr="00E748B9" w14:paraId="347752B7" w14:textId="77777777" w:rsidTr="007F3828">
        <w:tc>
          <w:tcPr>
            <w:tcW w:w="24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2F7077" w14:textId="77777777" w:rsidR="00DB2890" w:rsidRPr="00E748B9" w:rsidRDefault="00DB2890" w:rsidP="007F3828">
            <w:pPr>
              <w:spacing w:line="360" w:lineRule="auto"/>
              <w:rPr>
                <w:color w:val="000000"/>
              </w:rPr>
            </w:pPr>
            <w:r w:rsidRPr="00E748B9">
              <w:rPr>
                <w:color w:val="000000"/>
              </w:rPr>
              <w:t>Forward Guidance Shock</w:t>
            </w:r>
          </w:p>
        </w:tc>
        <w:tc>
          <w:tcPr>
            <w:tcW w:w="43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FA636A" w14:textId="77777777" w:rsidR="00DB2890" w:rsidRPr="00E748B9" w:rsidRDefault="00DB2890" w:rsidP="007F3828">
            <w:pPr>
              <w:spacing w:line="360" w:lineRule="auto"/>
              <w:rPr>
                <w:color w:val="000000"/>
              </w:rPr>
            </w:pPr>
            <w:r w:rsidRPr="00E748B9">
              <w:rPr>
                <w:color w:val="000000"/>
              </w:rPr>
              <w:t>Denoted to measure the surprise in mid-term for press conference window</w:t>
            </w:r>
          </w:p>
        </w:tc>
        <w:tc>
          <w:tcPr>
            <w:tcW w:w="26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C4BFB7" w14:textId="77777777" w:rsidR="00DB2890" w:rsidRPr="00E748B9" w:rsidRDefault="00DB2890" w:rsidP="007F3828">
            <w:pPr>
              <w:spacing w:line="360" w:lineRule="auto"/>
              <w:rPr>
                <w:color w:val="000000"/>
              </w:rPr>
            </w:pPr>
            <w:r w:rsidRPr="00E748B9">
              <w:rPr>
                <w:color w:val="000000"/>
              </w:rPr>
              <w:t>EA-MPD database</w:t>
            </w:r>
          </w:p>
          <w:p w14:paraId="72FB79AA" w14:textId="2EB0FFB3" w:rsidR="00DB2890" w:rsidRPr="00E748B9" w:rsidRDefault="00DB2890" w:rsidP="007F3828">
            <w:pPr>
              <w:spacing w:line="360" w:lineRule="auto"/>
              <w:rPr>
                <w:color w:val="000000"/>
              </w:rPr>
            </w:pPr>
            <w:r w:rsidRPr="00E748B9">
              <w:rPr>
                <w:color w:val="000000"/>
              </w:rPr>
              <w:t>(Altavilla et al., 2019</w:t>
            </w:r>
            <w:r w:rsidR="00FA3733">
              <w:rPr>
                <w:color w:val="000000"/>
              </w:rPr>
              <w:t>a</w:t>
            </w:r>
            <w:r w:rsidRPr="00E748B9">
              <w:rPr>
                <w:color w:val="000000"/>
              </w:rPr>
              <w:t>)</w:t>
            </w:r>
          </w:p>
        </w:tc>
      </w:tr>
      <w:tr w:rsidR="00DB2890" w:rsidRPr="00E748B9" w14:paraId="30F655D4" w14:textId="77777777" w:rsidTr="007F3828">
        <w:tc>
          <w:tcPr>
            <w:tcW w:w="24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ACF5F1" w14:textId="77777777" w:rsidR="00DB2890" w:rsidRPr="00E748B9" w:rsidRDefault="00DB2890" w:rsidP="007F3828">
            <w:pPr>
              <w:spacing w:line="360" w:lineRule="auto"/>
              <w:rPr>
                <w:color w:val="000000"/>
              </w:rPr>
            </w:pPr>
            <w:r w:rsidRPr="00E748B9">
              <w:rPr>
                <w:color w:val="000000"/>
              </w:rPr>
              <w:t>EU GDP</w:t>
            </w:r>
          </w:p>
        </w:tc>
        <w:tc>
          <w:tcPr>
            <w:tcW w:w="43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6418FB" w14:textId="77777777" w:rsidR="00DB2890" w:rsidRPr="00E748B9" w:rsidRDefault="00DB2890" w:rsidP="007F3828">
            <w:pPr>
              <w:spacing w:line="360" w:lineRule="auto"/>
              <w:rPr>
                <w:color w:val="000000"/>
              </w:rPr>
            </w:pPr>
            <w:r w:rsidRPr="00E748B9">
              <w:rPr>
                <w:color w:val="000000"/>
              </w:rPr>
              <w:t>Month-on-month percent change in GDP</w:t>
            </w:r>
          </w:p>
        </w:tc>
        <w:tc>
          <w:tcPr>
            <w:tcW w:w="26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1F4DBF" w14:textId="77777777" w:rsidR="00DB2890" w:rsidRPr="00E748B9" w:rsidRDefault="00DB2890" w:rsidP="007F3828">
            <w:pPr>
              <w:spacing w:line="360" w:lineRule="auto"/>
              <w:rPr>
                <w:color w:val="000000"/>
              </w:rPr>
            </w:pPr>
            <w:r w:rsidRPr="00E748B9">
              <w:rPr>
                <w:color w:val="000000"/>
              </w:rPr>
              <w:t>EUROSTAT</w:t>
            </w:r>
          </w:p>
        </w:tc>
      </w:tr>
      <w:tr w:rsidR="00DB2890" w:rsidRPr="00E748B9" w14:paraId="45A3CCF1" w14:textId="77777777" w:rsidTr="007F3828">
        <w:tc>
          <w:tcPr>
            <w:tcW w:w="24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477DC1" w14:textId="77777777" w:rsidR="00DB2890" w:rsidRPr="00E748B9" w:rsidRDefault="00DB2890" w:rsidP="007F3828">
            <w:pPr>
              <w:spacing w:line="360" w:lineRule="auto"/>
              <w:rPr>
                <w:color w:val="000000"/>
              </w:rPr>
            </w:pPr>
            <w:r w:rsidRPr="00E748B9">
              <w:rPr>
                <w:color w:val="000000"/>
              </w:rPr>
              <w:t>EU HICP</w:t>
            </w:r>
          </w:p>
        </w:tc>
        <w:tc>
          <w:tcPr>
            <w:tcW w:w="43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B049DA" w14:textId="77777777" w:rsidR="00DB2890" w:rsidRPr="00E748B9" w:rsidRDefault="00DB2890" w:rsidP="007F3828">
            <w:pPr>
              <w:spacing w:line="360" w:lineRule="auto"/>
              <w:rPr>
                <w:color w:val="000000"/>
              </w:rPr>
            </w:pPr>
            <w:r w:rsidRPr="00E748B9">
              <w:rPr>
                <w:color w:val="000000"/>
              </w:rPr>
              <w:t>Harmonized Index of Consumer Prices</w:t>
            </w:r>
          </w:p>
        </w:tc>
        <w:tc>
          <w:tcPr>
            <w:tcW w:w="26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0E0A09" w14:textId="77777777" w:rsidR="00DB2890" w:rsidRPr="00E748B9" w:rsidRDefault="00DB2890" w:rsidP="007F3828">
            <w:pPr>
              <w:spacing w:line="360" w:lineRule="auto"/>
              <w:rPr>
                <w:color w:val="000000"/>
              </w:rPr>
            </w:pPr>
            <w:r w:rsidRPr="00E748B9">
              <w:rPr>
                <w:color w:val="000000"/>
              </w:rPr>
              <w:t>EUROSTAT</w:t>
            </w:r>
          </w:p>
        </w:tc>
      </w:tr>
    </w:tbl>
    <w:p w14:paraId="37FA12F1" w14:textId="77777777" w:rsidR="00DB2890" w:rsidRPr="00E748B9" w:rsidRDefault="00DB2890" w:rsidP="00DB2890">
      <w:pPr>
        <w:spacing w:line="360" w:lineRule="auto"/>
      </w:pPr>
    </w:p>
    <w:p w14:paraId="0FB575C7" w14:textId="28230A9F" w:rsidR="00DB2890" w:rsidRPr="006D4438" w:rsidRDefault="00DB2890" w:rsidP="00DB2890">
      <w:pPr>
        <w:spacing w:line="360" w:lineRule="auto"/>
        <w:rPr>
          <w:iCs/>
        </w:rPr>
      </w:pPr>
      <w:r w:rsidRPr="00E748B9">
        <w:rPr>
          <w:i/>
        </w:rPr>
        <w:t xml:space="preserve">Table </w:t>
      </w:r>
      <w:r w:rsidR="005922B2">
        <w:rPr>
          <w:i/>
        </w:rPr>
        <w:t>2</w:t>
      </w:r>
      <w:r w:rsidRPr="006D4438">
        <w:rPr>
          <w:iCs/>
        </w:rPr>
        <w:t xml:space="preserve">. Variables employed in the study of monetary policy cross-border effects on Romania, Poland, Czech </w:t>
      </w:r>
      <w:proofErr w:type="gramStart"/>
      <w:r w:rsidRPr="006D4438">
        <w:rPr>
          <w:iCs/>
        </w:rPr>
        <w:t>Republic</w:t>
      </w:r>
      <w:proofErr w:type="gramEnd"/>
      <w:r w:rsidRPr="006D4438">
        <w:rPr>
          <w:iCs/>
        </w:rPr>
        <w:t xml:space="preserve"> and Hungary. Table made by the authors. </w:t>
      </w:r>
    </w:p>
    <w:p w14:paraId="2BEBF2A1" w14:textId="0A67048A" w:rsidR="00903A06" w:rsidRDefault="00DB2890" w:rsidP="00DB2890">
      <w:pPr>
        <w:spacing w:before="240" w:after="160" w:line="360" w:lineRule="auto"/>
      </w:pPr>
      <w:r w:rsidRPr="00E748B9">
        <w:t xml:space="preserve">Our sample period spans from January 2002 to December 2020 and incorporates nearly a decade of </w:t>
      </w:r>
      <w:r w:rsidR="00E47900">
        <w:t xml:space="preserve">UMP </w:t>
      </w:r>
      <w:r w:rsidRPr="00E748B9">
        <w:t>experience</w:t>
      </w:r>
      <w:r>
        <w:t xml:space="preserve"> as well as the major economic crisis</w:t>
      </w:r>
      <w:r w:rsidRPr="00E748B9">
        <w:t>. We use quarterly data in our regressions and hence aggregate monthly data when necessary.</w:t>
      </w:r>
    </w:p>
    <w:p w14:paraId="4F9EAF6A" w14:textId="15BC61A2" w:rsidR="00E91B5B" w:rsidRDefault="00E91B5B" w:rsidP="00DB2890">
      <w:pPr>
        <w:spacing w:before="240" w:after="160" w:line="360" w:lineRule="auto"/>
      </w:pPr>
    </w:p>
    <w:p w14:paraId="76FA3B72" w14:textId="77777777" w:rsidR="00E91B5B" w:rsidRPr="00E748B9" w:rsidRDefault="00E91B5B" w:rsidP="00DB2890">
      <w:pPr>
        <w:spacing w:before="240" w:after="160" w:line="360" w:lineRule="auto"/>
      </w:pPr>
    </w:p>
    <w:p w14:paraId="3377AC16" w14:textId="78FCBAA3" w:rsidR="00DB2890" w:rsidRPr="00B444F1" w:rsidRDefault="006B5359" w:rsidP="00B444F1">
      <w:pPr>
        <w:pStyle w:val="Heading2"/>
        <w:rPr>
          <w:i w:val="0"/>
          <w:iCs w:val="0"/>
        </w:rPr>
      </w:pPr>
      <w:bookmarkStart w:id="21" w:name="_Toc99919336"/>
      <w:r w:rsidRPr="00B444F1">
        <w:rPr>
          <w:i w:val="0"/>
          <w:iCs w:val="0"/>
        </w:rPr>
        <w:lastRenderedPageBreak/>
        <w:t xml:space="preserve">3.1 </w:t>
      </w:r>
      <w:r w:rsidR="00DB2890" w:rsidRPr="00B444F1">
        <w:rPr>
          <w:i w:val="0"/>
          <w:iCs w:val="0"/>
        </w:rPr>
        <w:t>Monetary Policy Shock Identification</w:t>
      </w:r>
      <w:bookmarkEnd w:id="21"/>
    </w:p>
    <w:p w14:paraId="11119313" w14:textId="77777777" w:rsidR="00DB2890" w:rsidRPr="00E748B9" w:rsidRDefault="00DB2890" w:rsidP="00903A06">
      <w:pPr>
        <w:spacing w:line="360" w:lineRule="auto"/>
        <w:ind w:firstLine="720"/>
      </w:pPr>
      <w:r w:rsidRPr="00E748B9">
        <w:t>One of the most important challenges when studying the macroeconomic effects of the monetary policy usually is associated with isolating the policy surprises. Since monetary policy is conducted after careful deliberation of prevailing economic conditions, changes in the monetary policy stance and instruments may have already been "priced-in" by financial markets and hence affect economic activity even before actual decisions have been made by the central bank. Therefore, one needs to isolate a pure monetary surprise or shock to study its macroeconomic effects.</w:t>
      </w:r>
    </w:p>
    <w:p w14:paraId="6A43F387" w14:textId="77777777" w:rsidR="00DB2890" w:rsidRPr="00E748B9" w:rsidRDefault="00DB2890" w:rsidP="00903A06">
      <w:pPr>
        <w:spacing w:line="360" w:lineRule="auto"/>
        <w:ind w:firstLine="720"/>
      </w:pPr>
      <w:r w:rsidRPr="00E748B9">
        <w:t xml:space="preserve">In this respect, we rely on high-frequency financial market indicators to extract the shocks adjoining the announcement time of the ECB's monetary policy changes. We use (and extend) dataset and the approach of Altavilla et al. (2019) which cumulates the intraday asset price changes for two periods around the monetary policy event: (a) Press Release Window (b) Press Conference Window and the full Monetary Event Window.  </w:t>
      </w:r>
    </w:p>
    <w:p w14:paraId="4BE261A7" w14:textId="77777777" w:rsidR="00DB2890" w:rsidRPr="00E748B9" w:rsidRDefault="00DB2890" w:rsidP="00903A06">
      <w:pPr>
        <w:spacing w:line="360" w:lineRule="auto"/>
        <w:ind w:firstLine="720"/>
      </w:pPr>
      <w:r w:rsidRPr="00E748B9">
        <w:t>The European Central Bank communicates its monetary policy decisions by publishing the press release followed by the press conference. Thus, according to Altavilla et al. (2019), there is a clear separation between the financial market effects of the change in policy rates and the other policy actions that are based on intraday data, which allows capturing the shocks produced by the announcements. In other words, changes in the financial market variables during the short window that surrounds ECB's monetary policy announcement, and the following press conference are presumed to be purely related to the monetary policy surprise.</w:t>
      </w:r>
    </w:p>
    <w:p w14:paraId="46C914D1" w14:textId="7E351739" w:rsidR="00DB2890" w:rsidRPr="00E748B9" w:rsidRDefault="00DB2890" w:rsidP="00903A06">
      <w:pPr>
        <w:spacing w:line="360" w:lineRule="auto"/>
        <w:ind w:firstLine="720"/>
      </w:pPr>
      <w:r w:rsidRPr="00E748B9">
        <w:t xml:space="preserve">We use a large selection of financial market indicators starting from 2002 and ending in 2020 to calculate the market-implied latent factors (monetary policy shocks) that account for the changes in the yield curve. The identification relies on the methodology suggested by </w:t>
      </w:r>
      <w:proofErr w:type="spellStart"/>
      <w:r w:rsidRPr="00E748B9">
        <w:t>Gürkaynak</w:t>
      </w:r>
      <w:proofErr w:type="spellEnd"/>
      <w:r w:rsidRPr="00E748B9">
        <w:t xml:space="preserve"> et al. (200</w:t>
      </w:r>
      <w:r w:rsidR="00BF2E6D">
        <w:t>4</w:t>
      </w:r>
      <w:r w:rsidRPr="00E748B9">
        <w:t>), and Swanson (20</w:t>
      </w:r>
      <w:r w:rsidR="00BF2E6D">
        <w:t>21</w:t>
      </w:r>
      <w:r w:rsidRPr="00E748B9">
        <w:t>). Thus, we account for the term structure of OIS (Overnight Indexed Swap) as an identificatory of the risk-free curve. However, we are constrained by the availability of data with maturities of more than two years, so we can use OIS as a proxy only for the period starting with the last quarter of 2011. As for the first part of the sample, we use German sovereign yields as a proxy.</w:t>
      </w:r>
    </w:p>
    <w:p w14:paraId="2B3064E7" w14:textId="77777777" w:rsidR="00DB2890" w:rsidRPr="00E748B9" w:rsidRDefault="00DB2890" w:rsidP="00903A06">
      <w:pPr>
        <w:spacing w:line="360" w:lineRule="auto"/>
        <w:ind w:firstLine="720"/>
      </w:pPr>
      <w:r w:rsidRPr="00E748B9">
        <w:t>This methodology allows us to extract 4 types of monetary policy shocks: (</w:t>
      </w:r>
      <w:proofErr w:type="spellStart"/>
      <w:r w:rsidRPr="00E748B9">
        <w:t>i</w:t>
      </w:r>
      <w:proofErr w:type="spellEnd"/>
      <w:r w:rsidRPr="00E748B9">
        <w:t xml:space="preserve">) Target shock, (ii) QE shock, (iii) Timing shock, and (iv) FG shock, (Fig 1, (a-d)). This contrasts with most of the previous literature in which monetary policy stance was summarized in one variable. </w:t>
      </w:r>
    </w:p>
    <w:p w14:paraId="7A9BB6A0" w14:textId="77777777" w:rsidR="00DB2890" w:rsidRPr="00E748B9" w:rsidRDefault="00DB2890" w:rsidP="00DB2890">
      <w:pPr>
        <w:spacing w:before="240" w:after="240" w:line="360" w:lineRule="auto"/>
      </w:pPr>
      <w:r w:rsidRPr="00E748B9">
        <w:rPr>
          <w:noProof/>
        </w:rPr>
        <w:lastRenderedPageBreak/>
        <w:drawing>
          <wp:inline distT="114300" distB="114300" distL="114300" distR="114300" wp14:anchorId="09502530" wp14:editId="62AF4A26">
            <wp:extent cx="5943600" cy="3530600"/>
            <wp:effectExtent l="0" t="0" r="0" b="0"/>
            <wp:docPr id="3" name="image1.png" descr="A picture containing text, whiteboard&#10;&#10;Description automatically generated"/>
            <wp:cNvGraphicFramePr/>
            <a:graphic xmlns:a="http://schemas.openxmlformats.org/drawingml/2006/main">
              <a:graphicData uri="http://schemas.openxmlformats.org/drawingml/2006/picture">
                <pic:pic xmlns:pic="http://schemas.openxmlformats.org/drawingml/2006/picture">
                  <pic:nvPicPr>
                    <pic:cNvPr id="3" name="image1.png" descr="A picture containing text, whiteboard&#10;&#10;Description automatically generated"/>
                    <pic:cNvPicPr preferRelativeResize="0"/>
                  </pic:nvPicPr>
                  <pic:blipFill>
                    <a:blip r:embed="rId9"/>
                    <a:srcRect/>
                    <a:stretch>
                      <a:fillRect/>
                    </a:stretch>
                  </pic:blipFill>
                  <pic:spPr>
                    <a:xfrm>
                      <a:off x="0" y="0"/>
                      <a:ext cx="5943600" cy="3530600"/>
                    </a:xfrm>
                    <a:prstGeom prst="rect">
                      <a:avLst/>
                    </a:prstGeom>
                    <a:ln/>
                  </pic:spPr>
                </pic:pic>
              </a:graphicData>
            </a:graphic>
          </wp:inline>
        </w:drawing>
      </w:r>
    </w:p>
    <w:p w14:paraId="42BA079E" w14:textId="77777777" w:rsidR="00DB2890" w:rsidRPr="006D4438" w:rsidRDefault="00DB2890" w:rsidP="00DB2890">
      <w:pPr>
        <w:spacing w:before="240" w:after="200" w:line="360" w:lineRule="auto"/>
        <w:jc w:val="both"/>
        <w:rPr>
          <w:iCs/>
        </w:rPr>
      </w:pPr>
      <w:r w:rsidRPr="00E748B9">
        <w:rPr>
          <w:i/>
        </w:rPr>
        <w:t>Figure 1</w:t>
      </w:r>
      <w:r w:rsidRPr="006D4438">
        <w:rPr>
          <w:iCs/>
        </w:rPr>
        <w:t xml:space="preserve">: (a) – Forward Guidance Shock; (b) – Quantitative Easing Shock; (c) –Timing Shock; (d) -Target Shock. Graph made by the authors. </w:t>
      </w:r>
    </w:p>
    <w:p w14:paraId="75C31D06" w14:textId="77777777" w:rsidR="00DB2890" w:rsidRPr="00E748B9" w:rsidRDefault="00DB2890" w:rsidP="00903A06">
      <w:pPr>
        <w:spacing w:line="360" w:lineRule="auto"/>
        <w:ind w:firstLine="720"/>
      </w:pPr>
      <w:r w:rsidRPr="00E748B9">
        <w:t>The target shock, which carries a unit effect on one-month OIS, is determined to be strongly tied with the press release window, affecting only the short end of the yield curve, i.e., overnight rates, and having little impact on the long-term rates. Hence, a targeted shock is likely to be associated with a more conventional monetary policy shock – changes in the short-term interest rates.</w:t>
      </w:r>
    </w:p>
    <w:p w14:paraId="593D6D35" w14:textId="77777777" w:rsidR="00DB2890" w:rsidRDefault="00DB2890" w:rsidP="00903A06">
      <w:pPr>
        <w:spacing w:line="360" w:lineRule="auto"/>
        <w:ind w:firstLine="720"/>
      </w:pPr>
      <w:r w:rsidRPr="00E748B9">
        <w:t xml:space="preserve">Timing shock has a unit effect on six-month OIS and relates to the surprises that are captured in, on average, the first 6 months in the yield curve. They capture the change in the policy expectations by shifting the short tail of the yield curve while keeping the long one stable. </w:t>
      </w:r>
    </w:p>
    <w:p w14:paraId="2493782D" w14:textId="77777777" w:rsidR="00DB2890" w:rsidRPr="00E748B9" w:rsidRDefault="00DB2890" w:rsidP="00903A06">
      <w:pPr>
        <w:spacing w:line="360" w:lineRule="auto"/>
        <w:ind w:firstLine="720"/>
      </w:pPr>
      <w:r w:rsidRPr="00E748B9">
        <w:t xml:space="preserve">In a similar way, FG shocks relate to the surprises around 2 years of maturity in the yield curve, </w:t>
      </w:r>
      <w:proofErr w:type="gramStart"/>
      <w:r w:rsidRPr="00E748B9">
        <w:t>i.e.</w:t>
      </w:r>
      <w:proofErr w:type="gramEnd"/>
      <w:r w:rsidRPr="00E748B9">
        <w:t xml:space="preserve"> it carries a unit effect on two-year OIS. Since these shocks measure the surprises in the medium-term maturities during the press conference window, they are supposed to capture central bank communication shocks, i.e., the central bank is using FG to influence market expectation of future monetary policy path.</w:t>
      </w:r>
    </w:p>
    <w:p w14:paraId="6DB8F350" w14:textId="11C50104" w:rsidR="00DB2890" w:rsidRPr="00DB2890" w:rsidRDefault="00DB2890" w:rsidP="00DF25D9">
      <w:pPr>
        <w:spacing w:line="360" w:lineRule="auto"/>
        <w:ind w:firstLine="720"/>
      </w:pPr>
      <w:r w:rsidRPr="00DF25D9">
        <w:t>QE shock</w:t>
      </w:r>
      <w:r w:rsidRPr="00273CDB">
        <w:rPr>
          <w:lang w:val="en-US"/>
        </w:rPr>
        <w:t xml:space="preserve"> is computed around the press release window since detailed changes in asset purchases are usually announced in the statement instead of the press conference; QE shock is obtained from the long end of the yield curve since the average </w:t>
      </w:r>
      <w:r w:rsidRPr="00273CDB">
        <w:rPr>
          <w:lang w:val="en-US"/>
        </w:rPr>
        <w:lastRenderedPageBreak/>
        <w:t>maturity of securities held by the euro area central banks is approximately 8 years. In</w:t>
      </w:r>
      <w:r w:rsidRPr="00E748B9">
        <w:t xml:space="preserve"> terms of interpretation, QE shock has a unit effect on ten-year yields.</w:t>
      </w:r>
    </w:p>
    <w:p w14:paraId="78E2F48D" w14:textId="74B02597" w:rsidR="000C6BED" w:rsidRPr="00042406" w:rsidRDefault="002E28DD" w:rsidP="00042406">
      <w:pPr>
        <w:pStyle w:val="Heading1"/>
        <w:jc w:val="center"/>
        <w:rPr>
          <w:i/>
          <w:iCs/>
        </w:rPr>
      </w:pPr>
      <w:bookmarkStart w:id="22" w:name="_Toc268437081"/>
      <w:bookmarkStart w:id="23" w:name="_Toc371588565"/>
      <w:bookmarkStart w:id="24" w:name="_Toc99919337"/>
      <w:r w:rsidRPr="00042406">
        <w:rPr>
          <w:i/>
          <w:iCs/>
        </w:rPr>
        <w:t xml:space="preserve">4. </w:t>
      </w:r>
      <w:r w:rsidR="00D7430A" w:rsidRPr="00042406">
        <w:rPr>
          <w:i/>
          <w:iCs/>
        </w:rPr>
        <w:t>Analysis of r</w:t>
      </w:r>
      <w:r w:rsidR="000C6BED" w:rsidRPr="00042406">
        <w:rPr>
          <w:i/>
          <w:iCs/>
        </w:rPr>
        <w:t>esults</w:t>
      </w:r>
      <w:bookmarkEnd w:id="22"/>
      <w:bookmarkEnd w:id="23"/>
      <w:bookmarkEnd w:id="24"/>
    </w:p>
    <w:p w14:paraId="4EDF1D58" w14:textId="3F829877" w:rsidR="00E85038" w:rsidRPr="003002B4" w:rsidRDefault="00E85038" w:rsidP="00E85038">
      <w:pPr>
        <w:spacing w:line="360" w:lineRule="auto"/>
        <w:ind w:firstLine="720"/>
        <w:rPr>
          <w:lang w:val="en-US"/>
        </w:rPr>
      </w:pPr>
      <w:r w:rsidRPr="003002B4">
        <w:rPr>
          <w:lang w:val="en-US"/>
        </w:rPr>
        <w:t xml:space="preserve">This section presents and discusses the main results of our empirical analysis, the dynamic response of selected macroeconomic variables in four CEE countries to different ECB's UMP shocks. Based on </w:t>
      </w:r>
      <w:proofErr w:type="spellStart"/>
      <w:r w:rsidRPr="003002B4">
        <w:rPr>
          <w:lang w:val="en-US"/>
        </w:rPr>
        <w:t>Altavilla</w:t>
      </w:r>
      <w:proofErr w:type="spellEnd"/>
      <w:r w:rsidRPr="003002B4">
        <w:rPr>
          <w:lang w:val="en-US"/>
        </w:rPr>
        <w:t xml:space="preserve"> et al. (2019) methodology, all four shocks can be interpreted as monetary policy tightening surprises measured by one unit increase in the OIS rates of different maturities. Impulse response functions (IRF) are used to illustrate the behavior of endogenous variables in response to monetary policy shocks over time, thus capturing not only the effect of a policy but also its duration. The IRFs are shown with a solid line, whereas the grey area around this line demonstrates the width of the confidence band, which equates to 95%. We next look at each monetary policy shock separately.</w:t>
      </w:r>
    </w:p>
    <w:p w14:paraId="6075914F" w14:textId="085C807A" w:rsidR="00E85038" w:rsidRPr="00B444F1" w:rsidRDefault="00042406" w:rsidP="00B444F1">
      <w:pPr>
        <w:pStyle w:val="Heading2"/>
        <w:rPr>
          <w:i w:val="0"/>
          <w:iCs w:val="0"/>
        </w:rPr>
      </w:pPr>
      <w:bookmarkStart w:id="25" w:name="_Toc99919338"/>
      <w:r w:rsidRPr="00B444F1">
        <w:rPr>
          <w:i w:val="0"/>
          <w:iCs w:val="0"/>
        </w:rPr>
        <w:t xml:space="preserve">4.1 </w:t>
      </w:r>
      <w:r w:rsidR="00E85038" w:rsidRPr="00B444F1">
        <w:rPr>
          <w:i w:val="0"/>
          <w:iCs w:val="0"/>
        </w:rPr>
        <w:t>Effects from Quantitative Easing (QE) shock</w:t>
      </w:r>
      <w:bookmarkEnd w:id="25"/>
    </w:p>
    <w:p w14:paraId="7E359A2F" w14:textId="586A5921" w:rsidR="00DF25D9" w:rsidRPr="00DF25D9" w:rsidRDefault="00DF25D9" w:rsidP="00DF25D9">
      <w:pPr>
        <w:spacing w:line="360" w:lineRule="auto"/>
        <w:ind w:firstLine="720"/>
      </w:pPr>
      <w:r w:rsidRPr="00DF25D9">
        <w:t>Overall, we do not find any statistically significant effect of QE shock on the selected macroeconomic variables in either of the four countries</w:t>
      </w:r>
      <w:r w:rsidR="00365247">
        <w:t xml:space="preserve"> (Appendix 2)</w:t>
      </w:r>
      <w:r w:rsidRPr="00DF25D9">
        <w:t xml:space="preserve">, which was also detected in </w:t>
      </w:r>
      <w:proofErr w:type="spellStart"/>
      <w:r w:rsidRPr="00DF25D9">
        <w:t>Falagiarda</w:t>
      </w:r>
      <w:proofErr w:type="spellEnd"/>
      <w:r w:rsidRPr="00DF25D9">
        <w:t xml:space="preserve"> et al. (2015) study for the same region. One possible reason could be the period covered in our analysis - we introduce quantitative easing shocks starting from 2002, while the policy only came into effect after 2008 (and APP programs in their current form only in 2015). Altavilla et al. (2019) stated that the QE shock (shock in long-term money market rates) had a minimal impact in the pre-crisis period. To test this hypothesis, we limited the sample to the first quarter of 2015, i.e., after the ECB for the first time initiated the Asset Purchase Program (APP) in mid-2014. The results in a shorter sample indeed show several significant effects induced by QE shock, most of which take place in the medium term, i.e., at least 2 quarters after the impulse shock.</w:t>
      </w:r>
    </w:p>
    <w:p w14:paraId="6969061E" w14:textId="77777777" w:rsidR="00DF25D9" w:rsidRPr="00DF25D9" w:rsidRDefault="00DF25D9" w:rsidP="00DF25D9">
      <w:pPr>
        <w:spacing w:line="360" w:lineRule="auto"/>
        <w:ind w:firstLine="720"/>
      </w:pPr>
      <w:r w:rsidRPr="00DF25D9">
        <w:t xml:space="preserve">Our findings over a shorter period indicate that QE shock has a heterogenous effect on GDP growth across the countries. The first and adverse reaction occurs in the 3rd quarter after the QE shock in the Czech Republic and Romania. In Hungary and Poland, the response is of the opposite sign and refers to the period between the 4th and 6th quarters after the impulse. In numerical terms, the effects for all countries are capped at -2% to +2% diapason from the initial level. These findings contribute to the </w:t>
      </w:r>
      <w:r w:rsidRPr="00DF25D9">
        <w:lastRenderedPageBreak/>
        <w:t xml:space="preserve">inconclusiveness of the results because they confirm both sides of the empirical evidence on the impact of QE shocks on GDP growth. The negative response of GDP growth in the Czech Republic and Romania is contrary to the theory, according to which QE is an adaptive type of monetary policy that is supposed to result in positive </w:t>
      </w:r>
      <w:proofErr w:type="spellStart"/>
      <w:r w:rsidRPr="00DF25D9">
        <w:t>spillovers</w:t>
      </w:r>
      <w:proofErr w:type="spellEnd"/>
      <w:r w:rsidRPr="00DF25D9">
        <w:t xml:space="preserve"> on GDP growth. However, there are some studies whose results are consistent with our findings. For example, </w:t>
      </w:r>
      <w:proofErr w:type="spellStart"/>
      <w:r w:rsidRPr="00DF25D9">
        <w:t>Kolasa</w:t>
      </w:r>
      <w:proofErr w:type="spellEnd"/>
      <w:r w:rsidRPr="00DF25D9">
        <w:t xml:space="preserve"> and </w:t>
      </w:r>
      <w:proofErr w:type="spellStart"/>
      <w:r w:rsidRPr="00DF25D9">
        <w:t>Wesołowski</w:t>
      </w:r>
      <w:proofErr w:type="spellEnd"/>
      <w:r w:rsidRPr="00DF25D9">
        <w:t xml:space="preserve"> (2020) obtain a negative response of GDP growth </w:t>
      </w:r>
      <w:proofErr w:type="gramStart"/>
      <w:r w:rsidRPr="00DF25D9">
        <w:t>in particular for</w:t>
      </w:r>
      <w:proofErr w:type="gramEnd"/>
      <w:r w:rsidRPr="00DF25D9">
        <w:t xml:space="preserve"> small open economies, while their results for large economies are in line with the theory. The authors attribute the drop in GDP to the exchange rate transmission channel, as their results signify that QE abroad leads to the appreciation of currency of small open economies. Hence, they lose international competitiveness, which contributes to a decrease in their GDP. Yet we find only rather ambiguous and inconclusive evidence of such channel.</w:t>
      </w:r>
    </w:p>
    <w:p w14:paraId="7D1C8F47" w14:textId="77777777" w:rsidR="00DF25D9" w:rsidRPr="00DF25D9" w:rsidRDefault="00DF25D9" w:rsidP="00DF25D9">
      <w:pPr>
        <w:spacing w:line="360" w:lineRule="auto"/>
        <w:ind w:firstLine="720"/>
      </w:pPr>
      <w:r w:rsidRPr="00DF25D9">
        <w:t xml:space="preserve">There is some evidence on long term positive effects on GDP growth in three countries, namely Hungary, Poland, and Romania, which signifies that QE shock induces long-term effects on the observed variable. This conclusion is in line with the one made by </w:t>
      </w:r>
      <w:proofErr w:type="spellStart"/>
      <w:r w:rsidRPr="00DF25D9">
        <w:t>Alpanda</w:t>
      </w:r>
      <w:proofErr w:type="spellEnd"/>
      <w:r w:rsidRPr="00DF25D9">
        <w:t xml:space="preserve"> and </w:t>
      </w:r>
      <w:proofErr w:type="spellStart"/>
      <w:r w:rsidRPr="00DF25D9">
        <w:t>Kabaca</w:t>
      </w:r>
      <w:proofErr w:type="spellEnd"/>
      <w:r w:rsidRPr="00DF25D9">
        <w:t xml:space="preserve"> (2020), who studied the impact of the QE implemented by the FED. According to their analysis, an improvement in economic activity in the face of increased GDP growth can occur even if the local currency appreciates in the countries receiving </w:t>
      </w:r>
      <w:proofErr w:type="spellStart"/>
      <w:r w:rsidRPr="00DF25D9">
        <w:t>spillovers</w:t>
      </w:r>
      <w:proofErr w:type="spellEnd"/>
      <w:r w:rsidRPr="00DF25D9">
        <w:t>. The main reason for it would be that the decreased term premia of those countries, which happens through the portfolio balance channel, make their bonds more attractive and, therefore, increases the capital inflow into the country. However, since we do not include the term premia as a variable in our model, we cannot draw the same conclusion.</w:t>
      </w:r>
    </w:p>
    <w:p w14:paraId="4BB18397" w14:textId="77777777" w:rsidR="00DF25D9" w:rsidRPr="00DF25D9" w:rsidRDefault="00DF25D9" w:rsidP="00DF25D9">
      <w:pPr>
        <w:spacing w:line="360" w:lineRule="auto"/>
        <w:ind w:firstLine="720"/>
      </w:pPr>
      <w:r w:rsidRPr="00DF25D9">
        <w:t xml:space="preserve">Regarding the exchange rates, we mostly observe an appreciation of the local currency in the CEE countries, which is in line with discoveries of </w:t>
      </w:r>
      <w:proofErr w:type="spellStart"/>
      <w:r w:rsidRPr="00DF25D9">
        <w:t>Rajan</w:t>
      </w:r>
      <w:proofErr w:type="spellEnd"/>
      <w:r w:rsidRPr="00DF25D9">
        <w:t xml:space="preserve"> (2016), </w:t>
      </w:r>
      <w:proofErr w:type="spellStart"/>
      <w:r w:rsidRPr="00DF25D9">
        <w:t>Bluwstein</w:t>
      </w:r>
      <w:proofErr w:type="spellEnd"/>
      <w:r w:rsidRPr="00DF25D9">
        <w:t xml:space="preserve"> and Canova (2018), </w:t>
      </w:r>
      <w:proofErr w:type="spellStart"/>
      <w:r w:rsidRPr="00DF25D9">
        <w:t>Falagiarda</w:t>
      </w:r>
      <w:proofErr w:type="spellEnd"/>
      <w:r w:rsidRPr="00DF25D9">
        <w:t xml:space="preserve"> et al. (2015), all of them studying specifically small open economies. The size of the effect ranges from 0.01% to 0.05%, which is very similar to the interval evidenced by Chen et al. (2012). According to their conclusions, such a reaction of the exchange rate was caused by higher capital inflows in the country.  </w:t>
      </w:r>
    </w:p>
    <w:p w14:paraId="741207CD" w14:textId="77777777" w:rsidR="00DF25D9" w:rsidRPr="00DF25D9" w:rsidRDefault="00DF25D9" w:rsidP="00DF25D9">
      <w:pPr>
        <w:spacing w:line="360" w:lineRule="auto"/>
        <w:ind w:firstLine="720"/>
      </w:pPr>
      <w:r w:rsidRPr="00DF25D9">
        <w:t xml:space="preserve">The most noticeable effects induced by QE shocks have been noted for the growth of interest rates with the magnitude of the impact ranging from 10% to 20% from the baseline. The impacts on interest rate growth appear to be uniform across the countries with the only difference in the timing of the effect. The results show that the </w:t>
      </w:r>
      <w:r w:rsidRPr="00DF25D9">
        <w:lastRenderedPageBreak/>
        <w:t xml:space="preserve">positive response of interest rate growth takes place in the 6th quarter in Czech Republic, Poland, and Romania, whereas the effect in Hungary arises earlier – in the 3rd quarter after the shock. </w:t>
      </w:r>
    </w:p>
    <w:p w14:paraId="72C23C67" w14:textId="77777777" w:rsidR="00DF25D9" w:rsidRPr="00DF25D9" w:rsidRDefault="00DF25D9" w:rsidP="00DF25D9">
      <w:pPr>
        <w:spacing w:line="360" w:lineRule="auto"/>
        <w:ind w:firstLine="720"/>
      </w:pPr>
      <w:r w:rsidRPr="00DF25D9">
        <w:t xml:space="preserve">We attest that the quantitative easing shock leads to lower inflation in all the countries studied, with effects occurring at different times. The magnitude of the effects is not substantial, ranging from -0.03% in the Czech Republic to -0.05% in Hungary and Romania. </w:t>
      </w:r>
    </w:p>
    <w:p w14:paraId="20944237" w14:textId="77777777" w:rsidR="00DF25D9" w:rsidRPr="00DF25D9" w:rsidRDefault="00DF25D9" w:rsidP="00DF25D9">
      <w:pPr>
        <w:spacing w:line="360" w:lineRule="auto"/>
        <w:ind w:firstLine="720"/>
      </w:pPr>
      <w:r w:rsidRPr="00DF25D9">
        <w:t xml:space="preserve">With regards to the stock price reaction, the results vary across the countries in both timing and the direction of the effect. For example, in Romania we observe an instant negative reaction of stock prices, whereas there is a positive response detected in the Czech Republic, Poland, and Hungary taking place in the period between the 4th quarter and the 7th quarter after the QE shock. Additionally, there are few more spikes noticed in three out of four countries, which occur approximately in the 10th quarter after the impulse. The ambiguity of stock price reaction has been documented in literature also before. For instance, Bhattarai et al. (2021), </w:t>
      </w:r>
      <w:proofErr w:type="spellStart"/>
      <w:r w:rsidRPr="00DF25D9">
        <w:t>Fratzscher</w:t>
      </w:r>
      <w:proofErr w:type="spellEnd"/>
      <w:r w:rsidRPr="00DF25D9">
        <w:t xml:space="preserve"> et al. (2018) observe an increase in stock prices cause by QE policy, whereas Rai and </w:t>
      </w:r>
      <w:proofErr w:type="spellStart"/>
      <w:r w:rsidRPr="00DF25D9">
        <w:t>Suchanek</w:t>
      </w:r>
      <w:proofErr w:type="spellEnd"/>
      <w:r w:rsidRPr="00DF25D9">
        <w:t xml:space="preserve"> (2014) discover a decrease in stock prices. </w:t>
      </w:r>
    </w:p>
    <w:p w14:paraId="0225D137" w14:textId="24BC9511" w:rsidR="0083665E" w:rsidRDefault="0083665E" w:rsidP="00473FDC">
      <w:pPr>
        <w:spacing w:line="360" w:lineRule="auto"/>
        <w:jc w:val="center"/>
      </w:pPr>
      <w:r>
        <w:rPr>
          <w:noProof/>
        </w:rPr>
        <w:drawing>
          <wp:inline distT="0" distB="0" distL="0" distR="0" wp14:anchorId="4DFFB564" wp14:editId="0B645FD1">
            <wp:extent cx="5513823" cy="2410797"/>
            <wp:effectExtent l="0" t="0" r="0" b="8890"/>
            <wp:docPr id="23" name="Picture 2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hart&#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15200" cy="2411399"/>
                    </a:xfrm>
                    <a:prstGeom prst="rect">
                      <a:avLst/>
                    </a:prstGeom>
                    <a:noFill/>
                    <a:ln>
                      <a:noFill/>
                    </a:ln>
                  </pic:spPr>
                </pic:pic>
              </a:graphicData>
            </a:graphic>
          </wp:inline>
        </w:drawing>
      </w:r>
    </w:p>
    <w:p w14:paraId="5ACE73E3" w14:textId="4149A7A2" w:rsidR="0083665E" w:rsidRPr="00F579AE" w:rsidRDefault="0083665E" w:rsidP="0083665E">
      <w:pPr>
        <w:spacing w:line="360" w:lineRule="auto"/>
        <w:rPr>
          <w:sz w:val="22"/>
          <w:szCs w:val="22"/>
          <w:lang w:val="en-US"/>
        </w:rPr>
      </w:pPr>
      <w:r w:rsidRPr="00F579AE">
        <w:rPr>
          <w:i/>
          <w:iCs/>
          <w:sz w:val="22"/>
          <w:szCs w:val="22"/>
        </w:rPr>
        <w:t xml:space="preserve">Figure </w:t>
      </w:r>
      <w:r w:rsidR="006D4438" w:rsidRPr="00B444F1">
        <w:rPr>
          <w:i/>
          <w:iCs/>
          <w:sz w:val="22"/>
          <w:szCs w:val="22"/>
          <w:lang w:val="en-US"/>
        </w:rPr>
        <w:t>2</w:t>
      </w:r>
      <w:r w:rsidRPr="00F579AE">
        <w:rPr>
          <w:sz w:val="22"/>
          <w:szCs w:val="22"/>
        </w:rPr>
        <w:t xml:space="preserve">. </w:t>
      </w:r>
      <w:r>
        <w:rPr>
          <w:sz w:val="22"/>
          <w:szCs w:val="22"/>
        </w:rPr>
        <w:t>Hungary</w:t>
      </w:r>
      <w:r w:rsidRPr="00F579AE">
        <w:rPr>
          <w:sz w:val="22"/>
          <w:szCs w:val="22"/>
        </w:rPr>
        <w:t xml:space="preserve"> variables response to </w:t>
      </w:r>
      <w:r>
        <w:rPr>
          <w:sz w:val="22"/>
          <w:szCs w:val="22"/>
        </w:rPr>
        <w:t>QE</w:t>
      </w:r>
      <w:r w:rsidRPr="00F579AE">
        <w:rPr>
          <w:sz w:val="22"/>
          <w:szCs w:val="22"/>
        </w:rPr>
        <w:t xml:space="preserve"> shock (from left to right: change in stock prices, change in interest rate, change in GDP, change in inflation, change in exchange rates). Figure made my authors. </w:t>
      </w:r>
    </w:p>
    <w:p w14:paraId="529C8CB2" w14:textId="77777777" w:rsidR="0083665E" w:rsidRDefault="0083665E" w:rsidP="0083665E">
      <w:pPr>
        <w:spacing w:line="360" w:lineRule="auto"/>
      </w:pPr>
    </w:p>
    <w:p w14:paraId="58E37773" w14:textId="0FD5CE17" w:rsidR="0083665E" w:rsidRDefault="0083665E" w:rsidP="0083665E">
      <w:pPr>
        <w:spacing w:line="360" w:lineRule="auto"/>
        <w:rPr>
          <w:lang w:val="en-US"/>
        </w:rPr>
      </w:pPr>
      <w:r>
        <w:rPr>
          <w:noProof/>
        </w:rPr>
        <w:lastRenderedPageBreak/>
        <w:drawing>
          <wp:inline distT="0" distB="0" distL="0" distR="0" wp14:anchorId="0D49B4EA" wp14:editId="34001161">
            <wp:extent cx="5495896" cy="2402959"/>
            <wp:effectExtent l="0" t="0" r="0" b="0"/>
            <wp:docPr id="24" name="Picture 24" descr="A picture containing text, map, boat, sh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ext, map, boat, ship&#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95896" cy="2402959"/>
                    </a:xfrm>
                    <a:prstGeom prst="rect">
                      <a:avLst/>
                    </a:prstGeom>
                    <a:noFill/>
                    <a:ln>
                      <a:noFill/>
                    </a:ln>
                  </pic:spPr>
                </pic:pic>
              </a:graphicData>
            </a:graphic>
          </wp:inline>
        </w:drawing>
      </w:r>
    </w:p>
    <w:p w14:paraId="50A7DE9A" w14:textId="190BE119" w:rsidR="001258E9" w:rsidRPr="00F579AE" w:rsidRDefault="001258E9" w:rsidP="001258E9">
      <w:pPr>
        <w:spacing w:line="360" w:lineRule="auto"/>
        <w:rPr>
          <w:sz w:val="22"/>
          <w:szCs w:val="22"/>
          <w:lang w:val="en-US"/>
        </w:rPr>
      </w:pPr>
      <w:r w:rsidRPr="00F579AE">
        <w:rPr>
          <w:i/>
          <w:iCs/>
          <w:sz w:val="22"/>
          <w:szCs w:val="22"/>
        </w:rPr>
        <w:t xml:space="preserve">Figure </w:t>
      </w:r>
      <w:r w:rsidR="00473FDC" w:rsidRPr="00B444F1">
        <w:rPr>
          <w:i/>
          <w:iCs/>
          <w:sz w:val="22"/>
          <w:szCs w:val="22"/>
          <w:lang w:val="en-US"/>
        </w:rPr>
        <w:t>3</w:t>
      </w:r>
      <w:r w:rsidRPr="00F579AE">
        <w:rPr>
          <w:sz w:val="22"/>
          <w:szCs w:val="22"/>
        </w:rPr>
        <w:t xml:space="preserve">. </w:t>
      </w:r>
      <w:r>
        <w:rPr>
          <w:sz w:val="22"/>
          <w:szCs w:val="22"/>
        </w:rPr>
        <w:t>Poland</w:t>
      </w:r>
      <w:r w:rsidRPr="00F579AE">
        <w:rPr>
          <w:sz w:val="22"/>
          <w:szCs w:val="22"/>
        </w:rPr>
        <w:t xml:space="preserve"> variables response to </w:t>
      </w:r>
      <w:r>
        <w:rPr>
          <w:sz w:val="22"/>
          <w:szCs w:val="22"/>
        </w:rPr>
        <w:t>QE</w:t>
      </w:r>
      <w:r w:rsidRPr="00F579AE">
        <w:rPr>
          <w:sz w:val="22"/>
          <w:szCs w:val="22"/>
        </w:rPr>
        <w:t xml:space="preserve"> shock (from left to right: change in stock prices, change in interest rate, change in GDP, change in inflation, change in exchange rates). Figure made my authors. </w:t>
      </w:r>
    </w:p>
    <w:p w14:paraId="185003A0" w14:textId="77777777" w:rsidR="001258E9" w:rsidRDefault="001258E9" w:rsidP="0083665E">
      <w:pPr>
        <w:spacing w:line="360" w:lineRule="auto"/>
        <w:rPr>
          <w:lang w:val="en-US"/>
        </w:rPr>
      </w:pPr>
    </w:p>
    <w:p w14:paraId="7F7CD544" w14:textId="45A22AB9" w:rsidR="0083665E" w:rsidRDefault="0083665E" w:rsidP="0083665E">
      <w:pPr>
        <w:spacing w:line="360" w:lineRule="auto"/>
        <w:rPr>
          <w:lang w:val="en-US"/>
        </w:rPr>
      </w:pPr>
      <w:r>
        <w:rPr>
          <w:noProof/>
        </w:rPr>
        <w:drawing>
          <wp:inline distT="0" distB="0" distL="0" distR="0" wp14:anchorId="7BFACB06" wp14:editId="5DA79277">
            <wp:extent cx="5520213" cy="2413591"/>
            <wp:effectExtent l="0" t="0" r="4445" b="6350"/>
            <wp:docPr id="22" name="Picture 22" descr="A picture containing text, map, boat, sh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text, map, boat, ship&#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20213" cy="2413591"/>
                    </a:xfrm>
                    <a:prstGeom prst="rect">
                      <a:avLst/>
                    </a:prstGeom>
                    <a:noFill/>
                    <a:ln>
                      <a:noFill/>
                    </a:ln>
                  </pic:spPr>
                </pic:pic>
              </a:graphicData>
            </a:graphic>
          </wp:inline>
        </w:drawing>
      </w:r>
    </w:p>
    <w:p w14:paraId="3B65CE59" w14:textId="305E4847" w:rsidR="001258E9" w:rsidRPr="00F579AE" w:rsidRDefault="001258E9" w:rsidP="001258E9">
      <w:pPr>
        <w:spacing w:line="360" w:lineRule="auto"/>
        <w:rPr>
          <w:sz w:val="22"/>
          <w:szCs w:val="22"/>
          <w:lang w:val="en-US"/>
        </w:rPr>
      </w:pPr>
      <w:r w:rsidRPr="00F579AE">
        <w:rPr>
          <w:i/>
          <w:iCs/>
          <w:sz w:val="22"/>
          <w:szCs w:val="22"/>
        </w:rPr>
        <w:t xml:space="preserve">Figure </w:t>
      </w:r>
      <w:r w:rsidR="00473FDC" w:rsidRPr="00B444F1">
        <w:rPr>
          <w:i/>
          <w:iCs/>
          <w:sz w:val="22"/>
          <w:szCs w:val="22"/>
          <w:lang w:val="en-US"/>
        </w:rPr>
        <w:t>4</w:t>
      </w:r>
      <w:r w:rsidRPr="00F579AE">
        <w:rPr>
          <w:sz w:val="22"/>
          <w:szCs w:val="22"/>
        </w:rPr>
        <w:t xml:space="preserve">. </w:t>
      </w:r>
      <w:r>
        <w:rPr>
          <w:sz w:val="22"/>
          <w:szCs w:val="22"/>
        </w:rPr>
        <w:t xml:space="preserve">Romania </w:t>
      </w:r>
      <w:r w:rsidRPr="00F579AE">
        <w:rPr>
          <w:sz w:val="22"/>
          <w:szCs w:val="22"/>
        </w:rPr>
        <w:t xml:space="preserve">variables response to </w:t>
      </w:r>
      <w:r>
        <w:rPr>
          <w:sz w:val="22"/>
          <w:szCs w:val="22"/>
        </w:rPr>
        <w:t>QE</w:t>
      </w:r>
      <w:r w:rsidRPr="00F579AE">
        <w:rPr>
          <w:sz w:val="22"/>
          <w:szCs w:val="22"/>
        </w:rPr>
        <w:t xml:space="preserve"> shock (from left to right: change in stock prices, change in interest rate, change in GDP, change in inflation, change in exchange rates). Figure made my authors. </w:t>
      </w:r>
    </w:p>
    <w:p w14:paraId="794DDEB5" w14:textId="77777777" w:rsidR="001258E9" w:rsidRDefault="001258E9" w:rsidP="0083665E">
      <w:pPr>
        <w:spacing w:line="360" w:lineRule="auto"/>
        <w:rPr>
          <w:lang w:val="en-US"/>
        </w:rPr>
      </w:pPr>
    </w:p>
    <w:p w14:paraId="174762A3" w14:textId="418585E0" w:rsidR="0083665E" w:rsidRDefault="0083665E" w:rsidP="0083665E">
      <w:pPr>
        <w:spacing w:line="360" w:lineRule="auto"/>
        <w:rPr>
          <w:lang w:val="en-US"/>
        </w:rPr>
      </w:pPr>
      <w:r>
        <w:rPr>
          <w:noProof/>
        </w:rPr>
        <w:lastRenderedPageBreak/>
        <w:drawing>
          <wp:inline distT="0" distB="0" distL="0" distR="0" wp14:anchorId="3D060A59" wp14:editId="1980964A">
            <wp:extent cx="5443870" cy="2380212"/>
            <wp:effectExtent l="0" t="0" r="6985" b="0"/>
            <wp:docPr id="25" name="Picture 25" descr="A picture containing text, map, boat, sh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ext, map, boat, ship&#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43870" cy="2380212"/>
                    </a:xfrm>
                    <a:prstGeom prst="rect">
                      <a:avLst/>
                    </a:prstGeom>
                    <a:noFill/>
                    <a:ln>
                      <a:noFill/>
                    </a:ln>
                  </pic:spPr>
                </pic:pic>
              </a:graphicData>
            </a:graphic>
          </wp:inline>
        </w:drawing>
      </w:r>
    </w:p>
    <w:p w14:paraId="1D4DAD80" w14:textId="38F4B15B" w:rsidR="001258E9" w:rsidRPr="00F579AE" w:rsidRDefault="001258E9" w:rsidP="001258E9">
      <w:pPr>
        <w:spacing w:line="360" w:lineRule="auto"/>
        <w:rPr>
          <w:sz w:val="22"/>
          <w:szCs w:val="22"/>
          <w:lang w:val="en-US"/>
        </w:rPr>
      </w:pPr>
      <w:r w:rsidRPr="00F579AE">
        <w:rPr>
          <w:i/>
          <w:iCs/>
          <w:sz w:val="22"/>
          <w:szCs w:val="22"/>
        </w:rPr>
        <w:t xml:space="preserve">Figure </w:t>
      </w:r>
      <w:r w:rsidR="00473FDC" w:rsidRPr="00B444F1">
        <w:rPr>
          <w:i/>
          <w:iCs/>
          <w:sz w:val="22"/>
          <w:szCs w:val="22"/>
          <w:lang w:val="en-US"/>
        </w:rPr>
        <w:t>5</w:t>
      </w:r>
      <w:r w:rsidRPr="00F579AE">
        <w:rPr>
          <w:sz w:val="22"/>
          <w:szCs w:val="22"/>
        </w:rPr>
        <w:t xml:space="preserve">. </w:t>
      </w:r>
      <w:r>
        <w:rPr>
          <w:sz w:val="22"/>
          <w:szCs w:val="22"/>
        </w:rPr>
        <w:t>The Czech Republic</w:t>
      </w:r>
      <w:r w:rsidRPr="00F579AE">
        <w:rPr>
          <w:sz w:val="22"/>
          <w:szCs w:val="22"/>
        </w:rPr>
        <w:t xml:space="preserve"> variables response to </w:t>
      </w:r>
      <w:r>
        <w:rPr>
          <w:sz w:val="22"/>
          <w:szCs w:val="22"/>
        </w:rPr>
        <w:t>QE</w:t>
      </w:r>
      <w:r w:rsidRPr="00F579AE">
        <w:rPr>
          <w:sz w:val="22"/>
          <w:szCs w:val="22"/>
        </w:rPr>
        <w:t xml:space="preserve"> shock (from left to right: change in stock prices, change in interest rate, change in GDP, change in inflation, change in exchange rates). Figure made my authors. </w:t>
      </w:r>
    </w:p>
    <w:p w14:paraId="3895BF87" w14:textId="77777777" w:rsidR="00370031" w:rsidRPr="00010D45" w:rsidRDefault="00370031" w:rsidP="00370031">
      <w:pPr>
        <w:spacing w:line="360" w:lineRule="auto"/>
      </w:pPr>
    </w:p>
    <w:p w14:paraId="4AAAF23E" w14:textId="79679FE3" w:rsidR="00E85038" w:rsidRPr="00B444F1" w:rsidRDefault="00042406" w:rsidP="00B444F1">
      <w:pPr>
        <w:pStyle w:val="Heading2"/>
        <w:rPr>
          <w:i w:val="0"/>
          <w:iCs w:val="0"/>
        </w:rPr>
      </w:pPr>
      <w:bookmarkStart w:id="26" w:name="_Toc99919339"/>
      <w:r w:rsidRPr="00B444F1">
        <w:rPr>
          <w:i w:val="0"/>
          <w:iCs w:val="0"/>
        </w:rPr>
        <w:t xml:space="preserve">4.2 </w:t>
      </w:r>
      <w:r w:rsidR="00E85038" w:rsidRPr="00B444F1">
        <w:rPr>
          <w:i w:val="0"/>
          <w:iCs w:val="0"/>
        </w:rPr>
        <w:t>Effects from Target shock</w:t>
      </w:r>
      <w:bookmarkEnd w:id="26"/>
    </w:p>
    <w:p w14:paraId="12F76CD3" w14:textId="77777777" w:rsidR="00DF25D9" w:rsidRPr="00DF25D9" w:rsidRDefault="00DF25D9" w:rsidP="00DF25D9">
      <w:pPr>
        <w:spacing w:line="360" w:lineRule="auto"/>
        <w:rPr>
          <w:lang w:val="en-US"/>
        </w:rPr>
      </w:pPr>
      <w:r w:rsidRPr="00DF25D9">
        <w:rPr>
          <w:lang w:val="en-US"/>
        </w:rPr>
        <w:t xml:space="preserve">In general, we uncover several significant effects posed by the target shock. The only variable for which there is no impact detected is growth in domestic short-term interest rates. </w:t>
      </w:r>
    </w:p>
    <w:p w14:paraId="391689EF" w14:textId="77777777" w:rsidR="00DF25D9" w:rsidRPr="00DF25D9" w:rsidRDefault="00DF25D9" w:rsidP="00DF25D9">
      <w:pPr>
        <w:spacing w:line="360" w:lineRule="auto"/>
        <w:rPr>
          <w:lang w:val="en-US"/>
        </w:rPr>
      </w:pPr>
      <w:r w:rsidRPr="00DF25D9">
        <w:rPr>
          <w:lang w:val="en-US"/>
        </w:rPr>
        <w:t>The results reveal that target shock negatively affects GDP growth in the observed countries. The decline in the variable is of the same magnitude (-1% below the steady state) and timing (the 1</w:t>
      </w:r>
      <w:r w:rsidRPr="00DF25D9">
        <w:rPr>
          <w:vertAlign w:val="superscript"/>
          <w:lang w:val="en-US"/>
        </w:rPr>
        <w:t>st</w:t>
      </w:r>
      <w:r w:rsidRPr="00DF25D9">
        <w:rPr>
          <w:lang w:val="en-US"/>
        </w:rPr>
        <w:t xml:space="preserve"> quarter after the impulse) in all countries. In other words, an increase in euro area short-term money market interest rates leads to a lower growth rates in neighboring CEE economies. Similar observations have been made by </w:t>
      </w:r>
      <w:proofErr w:type="spellStart"/>
      <w:r w:rsidRPr="00DF25D9">
        <w:rPr>
          <w:lang w:val="en-US"/>
        </w:rPr>
        <w:t>Benkovskis</w:t>
      </w:r>
      <w:proofErr w:type="spellEnd"/>
      <w:r w:rsidRPr="00DF25D9">
        <w:rPr>
          <w:lang w:val="en-US"/>
        </w:rPr>
        <w:t xml:space="preserve"> et al. (2011), </w:t>
      </w:r>
      <w:proofErr w:type="spellStart"/>
      <w:r w:rsidRPr="00DF25D9">
        <w:rPr>
          <w:lang w:val="en-US"/>
        </w:rPr>
        <w:t>Cecioni</w:t>
      </w:r>
      <w:proofErr w:type="spellEnd"/>
      <w:r w:rsidRPr="00DF25D9">
        <w:rPr>
          <w:lang w:val="en-US"/>
        </w:rPr>
        <w:t xml:space="preserve"> and </w:t>
      </w:r>
      <w:proofErr w:type="spellStart"/>
      <w:r w:rsidRPr="00DF25D9">
        <w:rPr>
          <w:lang w:val="en-US"/>
        </w:rPr>
        <w:t>Neri</w:t>
      </w:r>
      <w:proofErr w:type="spellEnd"/>
      <w:r w:rsidRPr="00DF25D9">
        <w:rPr>
          <w:lang w:val="en-US"/>
        </w:rPr>
        <w:t xml:space="preserve"> (2010), and </w:t>
      </w:r>
      <w:proofErr w:type="spellStart"/>
      <w:r w:rsidRPr="00DF25D9">
        <w:rPr>
          <w:lang w:val="en-US"/>
        </w:rPr>
        <w:t>Blaes</w:t>
      </w:r>
      <w:proofErr w:type="spellEnd"/>
      <w:r w:rsidRPr="00DF25D9">
        <w:rPr>
          <w:lang w:val="en-US"/>
        </w:rPr>
        <w:t xml:space="preserve"> (2009). The size of the effect, however, is higher than the ones noted by the mentioned researchers. The disparity can be attributed to the different time samples studied.</w:t>
      </w:r>
    </w:p>
    <w:p w14:paraId="30B660E7" w14:textId="77777777" w:rsidR="00DF25D9" w:rsidRPr="00DF25D9" w:rsidRDefault="00DF25D9" w:rsidP="00DF25D9">
      <w:pPr>
        <w:spacing w:line="360" w:lineRule="auto"/>
        <w:rPr>
          <w:lang w:val="en-US"/>
        </w:rPr>
      </w:pPr>
      <w:r w:rsidRPr="00DF25D9">
        <w:rPr>
          <w:lang w:val="en-US"/>
        </w:rPr>
        <w:t xml:space="preserve">The local currency is depreciating against the euro, and the effect is significant for three out of four countries – the Czech Republic, Hungary, and Poland. Therefore, we find some evidence for the exchange rate channel. A tighter monetary policy in the euro area induces capital outflows from the CEE countries and cause the currency to depreciate. This might increase the competitiveness of local goods in both internal and external markets; however, the impact is not sufficient enough to be translated into a higher GDP growth. The same conclusion was drawn by </w:t>
      </w:r>
      <w:proofErr w:type="spellStart"/>
      <w:r w:rsidRPr="00DF25D9">
        <w:rPr>
          <w:lang w:val="en-US"/>
        </w:rPr>
        <w:t>Benkovskis</w:t>
      </w:r>
      <w:proofErr w:type="spellEnd"/>
      <w:r w:rsidRPr="00DF25D9">
        <w:rPr>
          <w:lang w:val="en-US"/>
        </w:rPr>
        <w:t xml:space="preserve"> et al. (2011) in their study of the ECB spillovers to the CEE region.</w:t>
      </w:r>
    </w:p>
    <w:p w14:paraId="5FB057E8" w14:textId="77777777" w:rsidR="00DF25D9" w:rsidRPr="00DF25D9" w:rsidRDefault="00DF25D9" w:rsidP="00DF25D9">
      <w:pPr>
        <w:spacing w:line="360" w:lineRule="auto"/>
        <w:rPr>
          <w:lang w:val="en-US"/>
        </w:rPr>
      </w:pPr>
      <w:r w:rsidRPr="00DF25D9">
        <w:rPr>
          <w:lang w:val="en-US"/>
        </w:rPr>
        <w:lastRenderedPageBreak/>
        <w:t xml:space="preserve">When it comes to inflation, we find a positive effect of target shock in the Czech Republic and Romania, whereas no impact has been detected in other two countries. According to our findings, the target shock leads to 0.1% price growth in Romania, whereas the growth in the Czech Republic is only 0.05%. </w:t>
      </w:r>
    </w:p>
    <w:p w14:paraId="5D8EAB58" w14:textId="1E68D393" w:rsidR="00F579AE" w:rsidRDefault="00DF25D9" w:rsidP="00DF25D9">
      <w:pPr>
        <w:spacing w:line="360" w:lineRule="auto"/>
        <w:rPr>
          <w:lang w:val="en-US"/>
        </w:rPr>
      </w:pPr>
      <w:r w:rsidRPr="00DF25D9">
        <w:rPr>
          <w:lang w:val="en-US"/>
        </w:rPr>
        <w:t>Another asymmetric impact of the shock has been discovered for stock prices, which increase by approximately 2.5% in the Czech Republic, Hungary, and Romania, while the quantitative effect for Poland is around 2%. All countries experience this reaction in the 4</w:t>
      </w:r>
      <w:r w:rsidRPr="00DF25D9">
        <w:rPr>
          <w:vertAlign w:val="superscript"/>
          <w:lang w:val="en-US"/>
        </w:rPr>
        <w:t>th</w:t>
      </w:r>
      <w:r w:rsidRPr="00DF25D9">
        <w:rPr>
          <w:lang w:val="en-US"/>
        </w:rPr>
        <w:t xml:space="preserve"> quarter after the target shock</w:t>
      </w:r>
      <w:r>
        <w:rPr>
          <w:lang w:val="en-US"/>
        </w:rPr>
        <w:t>.</w:t>
      </w:r>
      <w:r w:rsidR="00010D45">
        <w:rPr>
          <w:noProof/>
        </w:rPr>
        <w:drawing>
          <wp:inline distT="0" distB="0" distL="0" distR="0" wp14:anchorId="6E1DD6A8" wp14:editId="6CBE2167">
            <wp:extent cx="5585652" cy="2445489"/>
            <wp:effectExtent l="0" t="0" r="0" b="0"/>
            <wp:docPr id="8" name="Picture 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87258" cy="2446192"/>
                    </a:xfrm>
                    <a:prstGeom prst="rect">
                      <a:avLst/>
                    </a:prstGeom>
                    <a:noFill/>
                    <a:ln>
                      <a:noFill/>
                    </a:ln>
                  </pic:spPr>
                </pic:pic>
              </a:graphicData>
            </a:graphic>
          </wp:inline>
        </w:drawing>
      </w:r>
    </w:p>
    <w:p w14:paraId="558AD0C7" w14:textId="506F8950" w:rsidR="00F579AE" w:rsidRPr="00F579AE" w:rsidRDefault="00F579AE" w:rsidP="00F579AE">
      <w:pPr>
        <w:spacing w:line="360" w:lineRule="auto"/>
        <w:rPr>
          <w:sz w:val="22"/>
          <w:szCs w:val="22"/>
          <w:lang w:val="en-US"/>
        </w:rPr>
      </w:pPr>
      <w:r w:rsidRPr="00F579AE">
        <w:rPr>
          <w:i/>
          <w:iCs/>
          <w:sz w:val="22"/>
          <w:szCs w:val="22"/>
        </w:rPr>
        <w:t xml:space="preserve">Figure </w:t>
      </w:r>
      <w:r w:rsidR="00473FDC" w:rsidRPr="00B444F1">
        <w:rPr>
          <w:i/>
          <w:iCs/>
          <w:sz w:val="22"/>
          <w:szCs w:val="22"/>
          <w:lang w:val="en-US"/>
        </w:rPr>
        <w:t>6</w:t>
      </w:r>
      <w:r w:rsidRPr="00F579AE">
        <w:rPr>
          <w:sz w:val="22"/>
          <w:szCs w:val="22"/>
        </w:rPr>
        <w:t xml:space="preserve">. </w:t>
      </w:r>
      <w:r w:rsidR="00A559E2">
        <w:rPr>
          <w:sz w:val="22"/>
          <w:szCs w:val="22"/>
        </w:rPr>
        <w:t>Hungary</w:t>
      </w:r>
      <w:r w:rsidRPr="00F579AE">
        <w:rPr>
          <w:sz w:val="22"/>
          <w:szCs w:val="22"/>
        </w:rPr>
        <w:t xml:space="preserve"> variables response to </w:t>
      </w:r>
      <w:r w:rsidR="00A559E2">
        <w:rPr>
          <w:sz w:val="22"/>
          <w:szCs w:val="22"/>
        </w:rPr>
        <w:t>Target</w:t>
      </w:r>
      <w:r w:rsidRPr="00F579AE">
        <w:rPr>
          <w:sz w:val="22"/>
          <w:szCs w:val="22"/>
        </w:rPr>
        <w:t xml:space="preserve"> shock (from left to right: change in stock prices, change in interest rate, change in GDP, change in inflation, change in exchange rates). Figure made my authors. </w:t>
      </w:r>
    </w:p>
    <w:p w14:paraId="3037537E" w14:textId="77777777" w:rsidR="00F579AE" w:rsidRDefault="00F579AE" w:rsidP="00010D45">
      <w:pPr>
        <w:spacing w:line="360" w:lineRule="auto"/>
        <w:rPr>
          <w:lang w:val="en-US"/>
        </w:rPr>
      </w:pPr>
    </w:p>
    <w:p w14:paraId="25D4A7A3" w14:textId="52A918EF" w:rsidR="00010D45" w:rsidRDefault="00010D45" w:rsidP="00010D45">
      <w:pPr>
        <w:spacing w:line="360" w:lineRule="auto"/>
        <w:rPr>
          <w:lang w:val="en-US"/>
        </w:rPr>
      </w:pPr>
      <w:r>
        <w:rPr>
          <w:noProof/>
        </w:rPr>
        <w:drawing>
          <wp:inline distT="0" distB="0" distL="0" distR="0" wp14:anchorId="5C344E33" wp14:editId="1CDE8C84">
            <wp:extent cx="5465135" cy="2392725"/>
            <wp:effectExtent l="0" t="0" r="2540" b="7620"/>
            <wp:docPr id="9" name="Picture 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66534" cy="2393338"/>
                    </a:xfrm>
                    <a:prstGeom prst="rect">
                      <a:avLst/>
                    </a:prstGeom>
                    <a:noFill/>
                    <a:ln>
                      <a:noFill/>
                    </a:ln>
                  </pic:spPr>
                </pic:pic>
              </a:graphicData>
            </a:graphic>
          </wp:inline>
        </w:drawing>
      </w:r>
    </w:p>
    <w:p w14:paraId="5E8E1742" w14:textId="5926C4CC" w:rsidR="00A559E2" w:rsidRPr="00F579AE" w:rsidRDefault="00A559E2" w:rsidP="00A559E2">
      <w:pPr>
        <w:spacing w:line="360" w:lineRule="auto"/>
        <w:rPr>
          <w:sz w:val="22"/>
          <w:szCs w:val="22"/>
          <w:lang w:val="en-US"/>
        </w:rPr>
      </w:pPr>
      <w:r w:rsidRPr="00F579AE">
        <w:rPr>
          <w:i/>
          <w:iCs/>
          <w:sz w:val="22"/>
          <w:szCs w:val="22"/>
        </w:rPr>
        <w:t xml:space="preserve">Figure </w:t>
      </w:r>
      <w:r w:rsidR="00473FDC" w:rsidRPr="00B444F1">
        <w:rPr>
          <w:i/>
          <w:iCs/>
          <w:sz w:val="22"/>
          <w:szCs w:val="22"/>
          <w:lang w:val="en-US"/>
        </w:rPr>
        <w:t>7</w:t>
      </w:r>
      <w:r w:rsidRPr="00F579AE">
        <w:rPr>
          <w:sz w:val="22"/>
          <w:szCs w:val="22"/>
        </w:rPr>
        <w:t xml:space="preserve">. </w:t>
      </w:r>
      <w:r>
        <w:rPr>
          <w:sz w:val="22"/>
          <w:szCs w:val="22"/>
        </w:rPr>
        <w:t xml:space="preserve">Poland </w:t>
      </w:r>
      <w:r w:rsidRPr="00F579AE">
        <w:rPr>
          <w:sz w:val="22"/>
          <w:szCs w:val="22"/>
        </w:rPr>
        <w:t xml:space="preserve">variables response to </w:t>
      </w:r>
      <w:r>
        <w:rPr>
          <w:sz w:val="22"/>
          <w:szCs w:val="22"/>
        </w:rPr>
        <w:t>Target</w:t>
      </w:r>
      <w:r w:rsidRPr="00F579AE">
        <w:rPr>
          <w:sz w:val="22"/>
          <w:szCs w:val="22"/>
        </w:rPr>
        <w:t xml:space="preserve"> shock (from left to right: change in stock prices, change in interest rate, change in GDP, change in inflation, change in exchange rates). Figure made my authors. </w:t>
      </w:r>
    </w:p>
    <w:p w14:paraId="3C2E7D6A" w14:textId="77777777" w:rsidR="00A559E2" w:rsidRDefault="00A559E2" w:rsidP="00010D45">
      <w:pPr>
        <w:spacing w:line="360" w:lineRule="auto"/>
        <w:rPr>
          <w:lang w:val="en-US"/>
        </w:rPr>
      </w:pPr>
    </w:p>
    <w:p w14:paraId="358054EA" w14:textId="17465F31" w:rsidR="00A559E2" w:rsidRDefault="00010D45" w:rsidP="00010D45">
      <w:pPr>
        <w:spacing w:line="360" w:lineRule="auto"/>
        <w:rPr>
          <w:lang w:val="en-US"/>
        </w:rPr>
      </w:pPr>
      <w:r>
        <w:rPr>
          <w:noProof/>
        </w:rPr>
        <w:drawing>
          <wp:inline distT="0" distB="0" distL="0" distR="0" wp14:anchorId="44E1A354" wp14:editId="205F405C">
            <wp:extent cx="5779934" cy="2530549"/>
            <wp:effectExtent l="0" t="0" r="0" b="3175"/>
            <wp:docPr id="10" name="Picture 1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81021" cy="2531025"/>
                    </a:xfrm>
                    <a:prstGeom prst="rect">
                      <a:avLst/>
                    </a:prstGeom>
                    <a:noFill/>
                    <a:ln>
                      <a:noFill/>
                    </a:ln>
                  </pic:spPr>
                </pic:pic>
              </a:graphicData>
            </a:graphic>
          </wp:inline>
        </w:drawing>
      </w:r>
    </w:p>
    <w:p w14:paraId="0562571C" w14:textId="3D7BAC8B" w:rsidR="00A559E2" w:rsidRPr="00F579AE" w:rsidRDefault="00A559E2" w:rsidP="00A559E2">
      <w:pPr>
        <w:spacing w:line="360" w:lineRule="auto"/>
        <w:rPr>
          <w:sz w:val="22"/>
          <w:szCs w:val="22"/>
          <w:lang w:val="en-US"/>
        </w:rPr>
      </w:pPr>
      <w:r w:rsidRPr="00F579AE">
        <w:rPr>
          <w:i/>
          <w:iCs/>
          <w:sz w:val="22"/>
          <w:szCs w:val="22"/>
        </w:rPr>
        <w:t xml:space="preserve">Figure </w:t>
      </w:r>
      <w:r w:rsidR="00473FDC" w:rsidRPr="008F5BB5">
        <w:rPr>
          <w:i/>
          <w:iCs/>
          <w:sz w:val="22"/>
          <w:szCs w:val="22"/>
        </w:rPr>
        <w:t>8</w:t>
      </w:r>
      <w:r w:rsidRPr="00F579AE">
        <w:rPr>
          <w:sz w:val="22"/>
          <w:szCs w:val="22"/>
        </w:rPr>
        <w:t xml:space="preserve">. </w:t>
      </w:r>
      <w:r>
        <w:rPr>
          <w:sz w:val="22"/>
          <w:szCs w:val="22"/>
        </w:rPr>
        <w:t>Romania</w:t>
      </w:r>
      <w:r w:rsidRPr="00F579AE">
        <w:rPr>
          <w:sz w:val="22"/>
          <w:szCs w:val="22"/>
        </w:rPr>
        <w:t xml:space="preserve"> variables response to </w:t>
      </w:r>
      <w:r>
        <w:rPr>
          <w:sz w:val="22"/>
          <w:szCs w:val="22"/>
        </w:rPr>
        <w:t>Target</w:t>
      </w:r>
      <w:r w:rsidRPr="00F579AE">
        <w:rPr>
          <w:sz w:val="22"/>
          <w:szCs w:val="22"/>
        </w:rPr>
        <w:t xml:space="preserve"> shock (from left to right: </w:t>
      </w:r>
      <w:r w:rsidR="008F5BB5" w:rsidRPr="00F579AE">
        <w:rPr>
          <w:sz w:val="22"/>
          <w:szCs w:val="22"/>
        </w:rPr>
        <w:t>change in inflation, change in exchange rates, change in GDP</w:t>
      </w:r>
      <w:r w:rsidR="008F5BB5">
        <w:rPr>
          <w:sz w:val="22"/>
          <w:szCs w:val="22"/>
        </w:rPr>
        <w:t>,</w:t>
      </w:r>
      <w:r w:rsidR="008F5BB5" w:rsidRPr="00F579AE">
        <w:rPr>
          <w:sz w:val="22"/>
          <w:szCs w:val="22"/>
        </w:rPr>
        <w:t xml:space="preserve"> </w:t>
      </w:r>
      <w:r w:rsidRPr="00F579AE">
        <w:rPr>
          <w:sz w:val="22"/>
          <w:szCs w:val="22"/>
        </w:rPr>
        <w:t xml:space="preserve">change in stock prices, change in interest rate). Figure made my authors. </w:t>
      </w:r>
    </w:p>
    <w:p w14:paraId="01BE8789" w14:textId="77777777" w:rsidR="00A559E2" w:rsidRDefault="00A559E2" w:rsidP="00010D45">
      <w:pPr>
        <w:spacing w:line="360" w:lineRule="auto"/>
        <w:rPr>
          <w:lang w:val="en-US"/>
        </w:rPr>
      </w:pPr>
    </w:p>
    <w:p w14:paraId="412BD1D6" w14:textId="4E9CDE99" w:rsidR="00010D45" w:rsidRDefault="00010D45" w:rsidP="00010D45">
      <w:pPr>
        <w:spacing w:line="360" w:lineRule="auto"/>
        <w:rPr>
          <w:lang w:val="en-US"/>
        </w:rPr>
      </w:pPr>
      <w:r>
        <w:rPr>
          <w:noProof/>
        </w:rPr>
        <w:drawing>
          <wp:inline distT="0" distB="0" distL="0" distR="0" wp14:anchorId="698603C8" wp14:editId="24E368FF">
            <wp:extent cx="5707075" cy="2498651"/>
            <wp:effectExtent l="0" t="0" r="8255" b="0"/>
            <wp:docPr id="7" name="Picture 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10522" cy="2500160"/>
                    </a:xfrm>
                    <a:prstGeom prst="rect">
                      <a:avLst/>
                    </a:prstGeom>
                    <a:noFill/>
                    <a:ln>
                      <a:noFill/>
                    </a:ln>
                  </pic:spPr>
                </pic:pic>
              </a:graphicData>
            </a:graphic>
          </wp:inline>
        </w:drawing>
      </w:r>
    </w:p>
    <w:p w14:paraId="71439F14" w14:textId="7D366259" w:rsidR="00A559E2" w:rsidRPr="00F579AE" w:rsidRDefault="00A559E2" w:rsidP="00A559E2">
      <w:pPr>
        <w:spacing w:line="360" w:lineRule="auto"/>
        <w:rPr>
          <w:sz w:val="22"/>
          <w:szCs w:val="22"/>
          <w:lang w:val="en-US"/>
        </w:rPr>
      </w:pPr>
      <w:r w:rsidRPr="00F579AE">
        <w:rPr>
          <w:i/>
          <w:iCs/>
          <w:sz w:val="22"/>
          <w:szCs w:val="22"/>
        </w:rPr>
        <w:t xml:space="preserve">Figure </w:t>
      </w:r>
      <w:r w:rsidR="00473FDC" w:rsidRPr="00B444F1">
        <w:rPr>
          <w:i/>
          <w:iCs/>
          <w:sz w:val="22"/>
          <w:szCs w:val="22"/>
          <w:lang w:val="en-US"/>
        </w:rPr>
        <w:t>9</w:t>
      </w:r>
      <w:r w:rsidRPr="00F579AE">
        <w:rPr>
          <w:sz w:val="22"/>
          <w:szCs w:val="22"/>
        </w:rPr>
        <w:t xml:space="preserve">. </w:t>
      </w:r>
      <w:r>
        <w:rPr>
          <w:sz w:val="22"/>
          <w:szCs w:val="22"/>
        </w:rPr>
        <w:t xml:space="preserve">The Czech Republic </w:t>
      </w:r>
      <w:r w:rsidRPr="00F579AE">
        <w:rPr>
          <w:sz w:val="22"/>
          <w:szCs w:val="22"/>
        </w:rPr>
        <w:t xml:space="preserve">variables response to </w:t>
      </w:r>
      <w:r>
        <w:rPr>
          <w:sz w:val="22"/>
          <w:szCs w:val="22"/>
        </w:rPr>
        <w:t>Target</w:t>
      </w:r>
      <w:r w:rsidRPr="00F579AE">
        <w:rPr>
          <w:sz w:val="22"/>
          <w:szCs w:val="22"/>
        </w:rPr>
        <w:t xml:space="preserve"> shock (from left to right: change in stock prices, change in interest rate, change in GDP, change in inflation, change in exchange rates). Figure made my authors. </w:t>
      </w:r>
    </w:p>
    <w:p w14:paraId="73146A6C" w14:textId="77777777" w:rsidR="00A559E2" w:rsidRPr="00E85038" w:rsidRDefault="00A559E2" w:rsidP="00010D45">
      <w:pPr>
        <w:spacing w:line="360" w:lineRule="auto"/>
        <w:rPr>
          <w:lang w:val="en-US"/>
        </w:rPr>
      </w:pPr>
    </w:p>
    <w:p w14:paraId="1BA8F811" w14:textId="1E86235B" w:rsidR="00E85038" w:rsidRPr="00B444F1" w:rsidRDefault="00042406" w:rsidP="00B444F1">
      <w:pPr>
        <w:pStyle w:val="Heading2"/>
        <w:rPr>
          <w:i w:val="0"/>
          <w:iCs w:val="0"/>
        </w:rPr>
      </w:pPr>
      <w:bookmarkStart w:id="27" w:name="_Toc99919340"/>
      <w:r w:rsidRPr="00B444F1">
        <w:rPr>
          <w:i w:val="0"/>
          <w:iCs w:val="0"/>
        </w:rPr>
        <w:t xml:space="preserve">4.3 </w:t>
      </w:r>
      <w:r w:rsidR="00E85038" w:rsidRPr="00B444F1">
        <w:rPr>
          <w:i w:val="0"/>
          <w:iCs w:val="0"/>
        </w:rPr>
        <w:t>Effects from Forward Guidance and Timing shock</w:t>
      </w:r>
      <w:bookmarkEnd w:id="27"/>
    </w:p>
    <w:p w14:paraId="3C416178" w14:textId="60C5688B" w:rsidR="00E85038" w:rsidRPr="003002B4" w:rsidRDefault="00E85038" w:rsidP="00E85038">
      <w:pPr>
        <w:spacing w:line="360" w:lineRule="auto"/>
        <w:ind w:firstLine="720"/>
        <w:rPr>
          <w:lang w:val="en-US"/>
        </w:rPr>
      </w:pPr>
      <w:r w:rsidRPr="003002B4">
        <w:rPr>
          <w:lang w:val="en-US"/>
        </w:rPr>
        <w:t>The Timing shock results in a slight decrease in the GDP growth in the Czech Republic, Poland, and Hungary around the fourth quarter, while no response was distinguished for Romania.</w:t>
      </w:r>
      <w:r w:rsidR="00365247">
        <w:rPr>
          <w:lang w:val="en-US"/>
        </w:rPr>
        <w:t xml:space="preserve"> (Appendix 1</w:t>
      </w:r>
      <w:proofErr w:type="gramStart"/>
      <w:r w:rsidR="00365247">
        <w:rPr>
          <w:lang w:val="en-US"/>
        </w:rPr>
        <w:t xml:space="preserve">) </w:t>
      </w:r>
      <w:r w:rsidRPr="003002B4">
        <w:rPr>
          <w:lang w:val="en-US"/>
        </w:rPr>
        <w:t xml:space="preserve"> Further</w:t>
      </w:r>
      <w:proofErr w:type="gramEnd"/>
      <w:r w:rsidRPr="003002B4">
        <w:rPr>
          <w:lang w:val="en-US"/>
        </w:rPr>
        <w:t xml:space="preserve">, we observe a non-significant </w:t>
      </w:r>
      <w:r w:rsidRPr="003002B4">
        <w:rPr>
          <w:lang w:val="en-US"/>
        </w:rPr>
        <w:lastRenderedPageBreak/>
        <w:t xml:space="preserve">fluctuation around the baseline up to the eleventh quarter, while in the Czech Republic and Hungary case, we attest a positive effect. </w:t>
      </w:r>
    </w:p>
    <w:p w14:paraId="33450266" w14:textId="77777777" w:rsidR="00E85038" w:rsidRPr="00E91B5B" w:rsidRDefault="00E85038" w:rsidP="00E85038">
      <w:pPr>
        <w:spacing w:line="360" w:lineRule="auto"/>
        <w:ind w:firstLine="720"/>
        <w:rPr>
          <w:lang w:val="en-US"/>
        </w:rPr>
      </w:pPr>
      <w:r w:rsidRPr="003002B4">
        <w:rPr>
          <w:lang w:val="en-US"/>
        </w:rPr>
        <w:t xml:space="preserve">The FG shock mainly presents consistent effects on the studied macro-financial variables for all the four CEE countries. On average, as a response to the FG shock, we find a sizable rise in GDP growth during the model's first two to three quarters, which lowers and approaches its minimum in the seventh quarter. The effect on GDP is particularly high in Poland, namely, the shock results in a 1.2% increase. In the Czech Republic, the magnitude of the response is expected to be 0.6%. Our results seem to be consistent with the findings of previous studies, which find positive spillovers of an FG </w:t>
      </w:r>
      <w:r w:rsidRPr="00E91B5B">
        <w:rPr>
          <w:lang w:val="en-US"/>
        </w:rPr>
        <w:t xml:space="preserve">shock to the output of emerging countries (Lewis and Roth, 2015; </w:t>
      </w:r>
      <w:proofErr w:type="spellStart"/>
      <w:r w:rsidRPr="00E91B5B">
        <w:rPr>
          <w:lang w:val="en-US"/>
        </w:rPr>
        <w:t>Peersman</w:t>
      </w:r>
      <w:proofErr w:type="spellEnd"/>
      <w:r w:rsidRPr="00E91B5B">
        <w:rPr>
          <w:lang w:val="en-US"/>
        </w:rPr>
        <w:t xml:space="preserve">, 2011). </w:t>
      </w:r>
    </w:p>
    <w:p w14:paraId="7979D9AB" w14:textId="77777777" w:rsidR="00E85038" w:rsidRPr="003002B4" w:rsidRDefault="00E85038" w:rsidP="00E85038">
      <w:pPr>
        <w:spacing w:line="360" w:lineRule="auto"/>
        <w:ind w:firstLine="720"/>
        <w:rPr>
          <w:lang w:val="en-US"/>
        </w:rPr>
      </w:pPr>
      <w:r w:rsidRPr="00E91B5B">
        <w:rPr>
          <w:lang w:val="en-US"/>
        </w:rPr>
        <w:t>There are several potential</w:t>
      </w:r>
      <w:r w:rsidRPr="003002B4">
        <w:rPr>
          <w:lang w:val="en-US"/>
        </w:rPr>
        <w:t xml:space="preserve"> reasons for such a response. For example, tighter financial conditions (or expectations of tighter monetary policy) in the euro area might cause capital outflows from the CEE countries. In fact, this would mean the depreciation of the local currencies. However, what we find is a statistically significant appreciation of all four currencies as a response both to Forward Guidance and Timing, with an especially large effect in Poland and Hungary (both countries also had the most significant GDP response). </w:t>
      </w:r>
    </w:p>
    <w:p w14:paraId="52A0746C" w14:textId="77777777" w:rsidR="00E85038" w:rsidRPr="003002B4" w:rsidRDefault="00E85038" w:rsidP="00E85038">
      <w:pPr>
        <w:spacing w:line="360" w:lineRule="auto"/>
        <w:ind w:firstLine="720"/>
        <w:rPr>
          <w:lang w:val="en-US"/>
        </w:rPr>
      </w:pPr>
      <w:r w:rsidRPr="003002B4">
        <w:rPr>
          <w:lang w:val="en-US"/>
        </w:rPr>
        <w:t>Another potential explanation is that the tightening in FG signals more robust economic conditions in the euro area. Thus, the tangent countries would expect higher economic demand, resulting in a positive shock in domestic GDP and the local currency.</w:t>
      </w:r>
    </w:p>
    <w:p w14:paraId="7B32873A" w14:textId="77777777" w:rsidR="003950D5" w:rsidRPr="003950D5" w:rsidRDefault="003950D5" w:rsidP="003950D5">
      <w:pPr>
        <w:spacing w:line="360" w:lineRule="auto"/>
        <w:ind w:firstLine="720"/>
        <w:rPr>
          <w:lang w:val="en-US"/>
        </w:rPr>
      </w:pPr>
      <w:r w:rsidRPr="003950D5">
        <w:rPr>
          <w:lang w:val="en-US"/>
        </w:rPr>
        <w:t xml:space="preserve">The interest rates of the countries employed in the research were observed to react to the FG and Timing shocks in mixed ways. There was no significant reaction observed for Hungary in case of FG shock and for Poland in case of Timing shock. </w:t>
      </w:r>
    </w:p>
    <w:p w14:paraId="2911DB3A" w14:textId="469FC25F" w:rsidR="00E85038" w:rsidRPr="003002B4" w:rsidRDefault="00E85038" w:rsidP="00E85038">
      <w:pPr>
        <w:spacing w:line="360" w:lineRule="auto"/>
        <w:ind w:firstLine="720"/>
        <w:rPr>
          <w:lang w:val="en-US"/>
        </w:rPr>
      </w:pPr>
      <w:r w:rsidRPr="003002B4">
        <w:rPr>
          <w:lang w:val="en-US"/>
        </w:rPr>
        <w:t xml:space="preserve"> In the Timing case, interest rates do not present any significant response to the shock except for Romania, where we observe a 0.04% rise in the third quarter. As a response to the FG shock, we follow the growth of interest rate in the Czech Republic had a significant increase in the sixth period. For Hungary, we attest no statistically significant changes. At the same time, in the case of Poland and Romania, the shock drives the interest rate growth up between the third and fourth periods to 0.2% and, respectively, 0.25%. While the interest rate does not show any other significant responses for Poland, we attest a second, more remarkable rise in the growth of Romania's interest rates in the eighth period, which is, again, consistent with the economic theory. A rise in local interest rates would prevent financial market </w:t>
      </w:r>
      <w:r w:rsidRPr="003002B4">
        <w:rPr>
          <w:lang w:val="en-US"/>
        </w:rPr>
        <w:lastRenderedPageBreak/>
        <w:t xml:space="preserve">participants from investing in Euro Area. The FG </w:t>
      </w:r>
      <w:r w:rsidRPr="00E91B5B">
        <w:rPr>
          <w:lang w:val="en-US"/>
        </w:rPr>
        <w:t xml:space="preserve">shock presents similar effects on interest rates as conventional monetary policies, as observed by </w:t>
      </w:r>
      <w:proofErr w:type="spellStart"/>
      <w:r w:rsidRPr="00E91B5B">
        <w:rPr>
          <w:lang w:val="en-US"/>
        </w:rPr>
        <w:t>Bundick</w:t>
      </w:r>
      <w:proofErr w:type="spellEnd"/>
      <w:r w:rsidRPr="00E91B5B">
        <w:rPr>
          <w:lang w:val="en-US"/>
        </w:rPr>
        <w:t xml:space="preserve"> </w:t>
      </w:r>
      <w:r w:rsidR="00E91B5B" w:rsidRPr="00E91B5B">
        <w:rPr>
          <w:lang w:val="en-US"/>
        </w:rPr>
        <w:t xml:space="preserve">et. Al. </w:t>
      </w:r>
      <w:r w:rsidRPr="00E91B5B">
        <w:rPr>
          <w:lang w:val="en-US"/>
        </w:rPr>
        <w:t>(2017).</w:t>
      </w:r>
      <w:r w:rsidRPr="003002B4">
        <w:rPr>
          <w:lang w:val="en-US"/>
        </w:rPr>
        <w:t xml:space="preserve"> </w:t>
      </w:r>
    </w:p>
    <w:p w14:paraId="2D1405D4" w14:textId="77777777" w:rsidR="00E85038" w:rsidRPr="003002B4" w:rsidRDefault="00E85038" w:rsidP="00E85038">
      <w:pPr>
        <w:spacing w:line="360" w:lineRule="auto"/>
        <w:ind w:firstLine="720"/>
        <w:rPr>
          <w:lang w:val="en-US"/>
        </w:rPr>
      </w:pPr>
      <w:r w:rsidRPr="003002B4">
        <w:rPr>
          <w:lang w:val="en-US"/>
        </w:rPr>
        <w:t xml:space="preserve">In the case of Romania and the Czech Republic, we do not observe a statistically significant response of inflation to the FG shock. There are signs of a slight drop in the inflation rates in the third and respectively fourth quarters for Poland and Hungary. Meanwhile, the Timing shock attests the inflation of Poland, Hungary, and the Czech Republic undergoing a drop in the second period with the biggest decline being attested in Hungary – up to -0.1%. In the case of Romania, we attest the effect of the shock only in the sixth quarter – a decrease of -0.05%. This could be due to lower imported inflation from the euro area or tighter domestic monetary policy expectations. </w:t>
      </w:r>
    </w:p>
    <w:p w14:paraId="692D52B1" w14:textId="7D4BEBC8" w:rsidR="00DB2890" w:rsidRDefault="00E85038" w:rsidP="00E85038">
      <w:pPr>
        <w:spacing w:line="360" w:lineRule="auto"/>
        <w:ind w:firstLine="720"/>
        <w:rPr>
          <w:lang w:val="en-US"/>
        </w:rPr>
      </w:pPr>
      <w:r w:rsidRPr="003002B4">
        <w:rPr>
          <w:lang w:val="en-US"/>
        </w:rPr>
        <w:t>FG shock was identified to positively impact changes in stock prices up to the second period, where a slight increase in the growth rate is distinguished. The response is coherent with the signaling effect and positive expectations on future demand and growth. However, in the case of Romania, there is a slight decrease in the growth of stock prices. As for the timing shock, we did not observe any spillovers to stock prices.</w:t>
      </w:r>
    </w:p>
    <w:p w14:paraId="5BA50F4D" w14:textId="6B6CFF85" w:rsidR="00010D45" w:rsidRDefault="00010D45" w:rsidP="00010D45">
      <w:pPr>
        <w:spacing w:line="360" w:lineRule="auto"/>
        <w:rPr>
          <w:lang w:val="en-US"/>
        </w:rPr>
      </w:pPr>
      <w:r>
        <w:rPr>
          <w:noProof/>
        </w:rPr>
        <w:drawing>
          <wp:inline distT="0" distB="0" distL="0" distR="0" wp14:anchorId="61A39258" wp14:editId="68BD84E0">
            <wp:extent cx="5922335" cy="2592895"/>
            <wp:effectExtent l="0" t="0" r="2540" b="0"/>
            <wp:docPr id="11" name="Picture 1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 line chart&#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29702" cy="2596120"/>
                    </a:xfrm>
                    <a:prstGeom prst="rect">
                      <a:avLst/>
                    </a:prstGeom>
                    <a:noFill/>
                    <a:ln>
                      <a:noFill/>
                    </a:ln>
                  </pic:spPr>
                </pic:pic>
              </a:graphicData>
            </a:graphic>
          </wp:inline>
        </w:drawing>
      </w:r>
    </w:p>
    <w:p w14:paraId="4F938D79" w14:textId="2A67EA8B" w:rsidR="00010D45" w:rsidRPr="00F579AE" w:rsidRDefault="00010D45" w:rsidP="00010D45">
      <w:pPr>
        <w:spacing w:line="360" w:lineRule="auto"/>
        <w:rPr>
          <w:sz w:val="22"/>
          <w:szCs w:val="22"/>
          <w:lang w:val="en-US"/>
        </w:rPr>
      </w:pPr>
      <w:r w:rsidRPr="00F579AE">
        <w:rPr>
          <w:i/>
          <w:iCs/>
          <w:sz w:val="22"/>
          <w:szCs w:val="22"/>
        </w:rPr>
        <w:t>Figure 1</w:t>
      </w:r>
      <w:r w:rsidR="00473FDC" w:rsidRPr="00B444F1">
        <w:rPr>
          <w:i/>
          <w:iCs/>
          <w:sz w:val="22"/>
          <w:szCs w:val="22"/>
          <w:lang w:val="en-US"/>
        </w:rPr>
        <w:t>0</w:t>
      </w:r>
      <w:r w:rsidRPr="00F579AE">
        <w:rPr>
          <w:sz w:val="22"/>
          <w:szCs w:val="22"/>
        </w:rPr>
        <w:t xml:space="preserve">. </w:t>
      </w:r>
      <w:r w:rsidR="00F579AE" w:rsidRPr="00F579AE">
        <w:rPr>
          <w:sz w:val="22"/>
          <w:szCs w:val="22"/>
        </w:rPr>
        <w:t xml:space="preserve">The Czech Republic variables response to FG shock (from left to right: change in stock prices, change in interest rate, change in GDP, change in inflation, change in exchange rates). Figure made my authors. </w:t>
      </w:r>
    </w:p>
    <w:p w14:paraId="0E5E54FA" w14:textId="2C10F5B6" w:rsidR="00010D45" w:rsidRDefault="00010D45" w:rsidP="00010D45">
      <w:pPr>
        <w:spacing w:line="360" w:lineRule="auto"/>
        <w:rPr>
          <w:lang w:val="en-US"/>
        </w:rPr>
      </w:pPr>
      <w:r>
        <w:rPr>
          <w:noProof/>
        </w:rPr>
        <w:lastRenderedPageBreak/>
        <w:drawing>
          <wp:inline distT="0" distB="0" distL="0" distR="0" wp14:anchorId="5BB8FEAC" wp14:editId="3325ABB2">
            <wp:extent cx="5731364" cy="2509284"/>
            <wp:effectExtent l="0" t="0" r="3175" b="5715"/>
            <wp:docPr id="12" name="Picture 1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2481" cy="2509773"/>
                    </a:xfrm>
                    <a:prstGeom prst="rect">
                      <a:avLst/>
                    </a:prstGeom>
                    <a:noFill/>
                    <a:ln>
                      <a:noFill/>
                    </a:ln>
                  </pic:spPr>
                </pic:pic>
              </a:graphicData>
            </a:graphic>
          </wp:inline>
        </w:drawing>
      </w:r>
    </w:p>
    <w:p w14:paraId="527867D0" w14:textId="71785018" w:rsidR="00F579AE" w:rsidRPr="00F579AE" w:rsidRDefault="00F579AE" w:rsidP="00F579AE">
      <w:pPr>
        <w:spacing w:line="360" w:lineRule="auto"/>
        <w:rPr>
          <w:sz w:val="22"/>
          <w:szCs w:val="22"/>
          <w:lang w:val="en-US"/>
        </w:rPr>
      </w:pPr>
      <w:r w:rsidRPr="00F579AE">
        <w:rPr>
          <w:i/>
          <w:iCs/>
          <w:sz w:val="22"/>
          <w:szCs w:val="22"/>
        </w:rPr>
        <w:t xml:space="preserve">Figure </w:t>
      </w:r>
      <w:r w:rsidR="00473FDC" w:rsidRPr="00B444F1">
        <w:rPr>
          <w:i/>
          <w:iCs/>
          <w:sz w:val="22"/>
          <w:szCs w:val="22"/>
          <w:lang w:val="en-US"/>
        </w:rPr>
        <w:t>11</w:t>
      </w:r>
      <w:r w:rsidRPr="00F579AE">
        <w:rPr>
          <w:i/>
          <w:iCs/>
          <w:sz w:val="22"/>
          <w:szCs w:val="22"/>
        </w:rPr>
        <w:t>.</w:t>
      </w:r>
      <w:r w:rsidRPr="00F579AE">
        <w:rPr>
          <w:sz w:val="22"/>
          <w:szCs w:val="22"/>
        </w:rPr>
        <w:t xml:space="preserve"> </w:t>
      </w:r>
      <w:r>
        <w:rPr>
          <w:sz w:val="22"/>
          <w:szCs w:val="22"/>
        </w:rPr>
        <w:t>Hungry</w:t>
      </w:r>
      <w:r w:rsidRPr="00F579AE">
        <w:rPr>
          <w:sz w:val="22"/>
          <w:szCs w:val="22"/>
        </w:rPr>
        <w:t xml:space="preserve"> variables response to FG shock (from left to right: change in stock prices, change in interest rate, change in GDP, change in inflation, change in exchange rates). Figure made my authors. </w:t>
      </w:r>
    </w:p>
    <w:p w14:paraId="21AF05A6" w14:textId="77777777" w:rsidR="00F579AE" w:rsidRDefault="00F579AE" w:rsidP="00010D45">
      <w:pPr>
        <w:spacing w:line="360" w:lineRule="auto"/>
        <w:rPr>
          <w:lang w:val="en-US"/>
        </w:rPr>
      </w:pPr>
    </w:p>
    <w:p w14:paraId="2120E92C" w14:textId="069DFBA1" w:rsidR="00F579AE" w:rsidRDefault="00010D45" w:rsidP="00010D45">
      <w:pPr>
        <w:spacing w:line="360" w:lineRule="auto"/>
        <w:rPr>
          <w:lang w:val="en-US"/>
        </w:rPr>
      </w:pPr>
      <w:r>
        <w:rPr>
          <w:noProof/>
        </w:rPr>
        <w:drawing>
          <wp:inline distT="0" distB="0" distL="0" distR="0" wp14:anchorId="286EEA09" wp14:editId="5AA30099">
            <wp:extent cx="5699051" cy="2495137"/>
            <wp:effectExtent l="0" t="0" r="0" b="635"/>
            <wp:docPr id="14" name="Picture 14" descr="A picture containing text, map, b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map, boat&#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01820" cy="2496349"/>
                    </a:xfrm>
                    <a:prstGeom prst="rect">
                      <a:avLst/>
                    </a:prstGeom>
                    <a:noFill/>
                    <a:ln>
                      <a:noFill/>
                    </a:ln>
                  </pic:spPr>
                </pic:pic>
              </a:graphicData>
            </a:graphic>
          </wp:inline>
        </w:drawing>
      </w:r>
    </w:p>
    <w:p w14:paraId="486832C1" w14:textId="3F1E6C52" w:rsidR="00F579AE" w:rsidRPr="00F579AE" w:rsidRDefault="00F579AE" w:rsidP="00F579AE">
      <w:pPr>
        <w:spacing w:line="360" w:lineRule="auto"/>
        <w:rPr>
          <w:sz w:val="22"/>
          <w:szCs w:val="22"/>
          <w:lang w:val="en-US"/>
        </w:rPr>
      </w:pPr>
      <w:r w:rsidRPr="00F579AE">
        <w:rPr>
          <w:i/>
          <w:iCs/>
          <w:sz w:val="22"/>
          <w:szCs w:val="22"/>
        </w:rPr>
        <w:t xml:space="preserve">Figure </w:t>
      </w:r>
      <w:r w:rsidR="00473FDC" w:rsidRPr="00B444F1">
        <w:rPr>
          <w:i/>
          <w:iCs/>
          <w:sz w:val="22"/>
          <w:szCs w:val="22"/>
          <w:lang w:val="en-US"/>
        </w:rPr>
        <w:t>12</w:t>
      </w:r>
      <w:r w:rsidRPr="00F579AE">
        <w:rPr>
          <w:sz w:val="22"/>
          <w:szCs w:val="22"/>
        </w:rPr>
        <w:t xml:space="preserve">. </w:t>
      </w:r>
      <w:r>
        <w:rPr>
          <w:sz w:val="22"/>
          <w:szCs w:val="22"/>
        </w:rPr>
        <w:t xml:space="preserve">Romania </w:t>
      </w:r>
      <w:r w:rsidRPr="00F579AE">
        <w:rPr>
          <w:sz w:val="22"/>
          <w:szCs w:val="22"/>
        </w:rPr>
        <w:t xml:space="preserve">variables response to FG shock (from left to right: change in stock prices, change in interest rate, change in GDP, change in inflation, change in exchange rates). Figure made my authors. </w:t>
      </w:r>
    </w:p>
    <w:p w14:paraId="7FCBCC43" w14:textId="77777777" w:rsidR="00F579AE" w:rsidRDefault="00F579AE" w:rsidP="00010D45">
      <w:pPr>
        <w:spacing w:line="360" w:lineRule="auto"/>
        <w:rPr>
          <w:lang w:val="en-US"/>
        </w:rPr>
      </w:pPr>
    </w:p>
    <w:p w14:paraId="1C9E4D8A" w14:textId="00E73BD9" w:rsidR="00010D45" w:rsidRDefault="00010D45" w:rsidP="00010D45">
      <w:pPr>
        <w:spacing w:line="360" w:lineRule="auto"/>
        <w:rPr>
          <w:lang w:val="en-US"/>
        </w:rPr>
      </w:pPr>
      <w:r>
        <w:rPr>
          <w:noProof/>
        </w:rPr>
        <w:lastRenderedPageBreak/>
        <w:drawing>
          <wp:inline distT="0" distB="0" distL="0" distR="0" wp14:anchorId="56E7EA5D" wp14:editId="6A901101">
            <wp:extent cx="5699051" cy="2495137"/>
            <wp:effectExtent l="0" t="0" r="0" b="635"/>
            <wp:docPr id="13" name="Picture 1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00522" cy="2495781"/>
                    </a:xfrm>
                    <a:prstGeom prst="rect">
                      <a:avLst/>
                    </a:prstGeom>
                    <a:noFill/>
                    <a:ln>
                      <a:noFill/>
                    </a:ln>
                  </pic:spPr>
                </pic:pic>
              </a:graphicData>
            </a:graphic>
          </wp:inline>
        </w:drawing>
      </w:r>
    </w:p>
    <w:p w14:paraId="41EF9879" w14:textId="422A3DD9" w:rsidR="00F579AE" w:rsidRPr="00E91B5B" w:rsidRDefault="00F579AE" w:rsidP="00010D45">
      <w:pPr>
        <w:spacing w:line="360" w:lineRule="auto"/>
        <w:rPr>
          <w:sz w:val="22"/>
          <w:szCs w:val="22"/>
          <w:lang w:val="en-US"/>
        </w:rPr>
      </w:pPr>
      <w:r w:rsidRPr="00F579AE">
        <w:rPr>
          <w:i/>
          <w:iCs/>
          <w:sz w:val="22"/>
          <w:szCs w:val="22"/>
        </w:rPr>
        <w:t xml:space="preserve">Figure </w:t>
      </w:r>
      <w:r w:rsidR="00473FDC" w:rsidRPr="00B444F1">
        <w:rPr>
          <w:i/>
          <w:iCs/>
          <w:sz w:val="22"/>
          <w:szCs w:val="22"/>
          <w:lang w:val="en-US"/>
        </w:rPr>
        <w:t>13</w:t>
      </w:r>
      <w:r w:rsidRPr="00F579AE">
        <w:rPr>
          <w:i/>
          <w:iCs/>
          <w:sz w:val="22"/>
          <w:szCs w:val="22"/>
        </w:rPr>
        <w:t>.</w:t>
      </w:r>
      <w:r w:rsidRPr="00F579AE">
        <w:rPr>
          <w:sz w:val="22"/>
          <w:szCs w:val="22"/>
        </w:rPr>
        <w:t xml:space="preserve"> </w:t>
      </w:r>
      <w:r>
        <w:rPr>
          <w:sz w:val="22"/>
          <w:szCs w:val="22"/>
        </w:rPr>
        <w:t xml:space="preserve">Poland </w:t>
      </w:r>
      <w:r w:rsidRPr="00F579AE">
        <w:rPr>
          <w:sz w:val="22"/>
          <w:szCs w:val="22"/>
        </w:rPr>
        <w:t xml:space="preserve">variables response to FG shock (from left to right: change in stock prices, change in interest rate, change in GDP, change in inflation, change in exchange rates). Figure made my authors. </w:t>
      </w:r>
    </w:p>
    <w:p w14:paraId="1727133E" w14:textId="6709E232" w:rsidR="000C6BED" w:rsidRPr="00042406" w:rsidRDefault="002E28DD" w:rsidP="00042406">
      <w:pPr>
        <w:pStyle w:val="Heading1"/>
        <w:jc w:val="center"/>
        <w:rPr>
          <w:i/>
          <w:iCs/>
        </w:rPr>
      </w:pPr>
      <w:bookmarkStart w:id="28" w:name="_Toc268437082"/>
      <w:bookmarkStart w:id="29" w:name="_Toc371588566"/>
      <w:bookmarkStart w:id="30" w:name="_Toc99919341"/>
      <w:r w:rsidRPr="00042406">
        <w:rPr>
          <w:i/>
          <w:iCs/>
        </w:rPr>
        <w:t xml:space="preserve">5. </w:t>
      </w:r>
      <w:r w:rsidR="000C6BED" w:rsidRPr="00042406">
        <w:rPr>
          <w:i/>
          <w:iCs/>
        </w:rPr>
        <w:t>Discussion</w:t>
      </w:r>
      <w:bookmarkEnd w:id="28"/>
      <w:bookmarkEnd w:id="29"/>
      <w:bookmarkEnd w:id="30"/>
    </w:p>
    <w:p w14:paraId="5109428E" w14:textId="77777777" w:rsidR="003950D5" w:rsidRPr="003950D5" w:rsidRDefault="003950D5" w:rsidP="003950D5">
      <w:pPr>
        <w:pStyle w:val="Newparagraph"/>
      </w:pPr>
      <w:r w:rsidRPr="003950D5">
        <w:t xml:space="preserve">In this study, we examined the spillover effects from ECB monetary policies on CEE countries’ GDP, interest rates, inflation, exchange rates and stock prices. </w:t>
      </w:r>
      <w:proofErr w:type="gramStart"/>
      <w:r w:rsidRPr="003950D5">
        <w:t>In particular, we</w:t>
      </w:r>
      <w:proofErr w:type="gramEnd"/>
      <w:r w:rsidRPr="003950D5">
        <w:t xml:space="preserve"> were interested in how the four policy shocks extracted from the EA-MPD Database, i.e., Target, Timing, FG and QE shock (Altavilla et. al., 2019) affect the </w:t>
      </w:r>
      <w:proofErr w:type="gramStart"/>
      <w:r w:rsidRPr="003950D5">
        <w:t>aforementioned variables</w:t>
      </w:r>
      <w:proofErr w:type="gramEnd"/>
      <w:r w:rsidRPr="003950D5">
        <w:t xml:space="preserve">. The central point of our research is being able to accurately distinguish the shocks measured in the interval between the monetary policy announcement and further press conference. We identify them using high frequency data and introduce euro area GDP and inflation to the model </w:t>
      </w:r>
      <w:proofErr w:type="gramStart"/>
      <w:r w:rsidRPr="003950D5">
        <w:t>in order to</w:t>
      </w:r>
      <w:proofErr w:type="gramEnd"/>
      <w:r w:rsidRPr="003950D5">
        <w:t xml:space="preserve"> control for prevailing macroeconomic conditions. Additionally, we are advantaged by the extended time-span data set – one of the main limitations of the previous research in this area.</w:t>
      </w:r>
    </w:p>
    <w:p w14:paraId="6B4B12BB" w14:textId="77777777" w:rsidR="003950D5" w:rsidRPr="003950D5" w:rsidRDefault="003950D5" w:rsidP="003950D5">
      <w:pPr>
        <w:pStyle w:val="Newparagraph"/>
      </w:pPr>
      <w:r w:rsidRPr="003950D5">
        <w:t xml:space="preserve">The findings reveal heterogeneous responses of the GDP growth in the emerging countries to different monetary policy shocks. We observe a statistically significant immediate positive response to the FG shock, which might be consistent with signalling channel, i.e., better macroeconomic conditions in the euro area which would raise economic activity also for the trading partners (without currency depreciation). There is, however, attested a decrease in the GDP growth </w:t>
      </w:r>
      <w:proofErr w:type="gramStart"/>
      <w:r w:rsidRPr="003950D5">
        <w:t>as a result of</w:t>
      </w:r>
      <w:proofErr w:type="gramEnd"/>
      <w:r w:rsidRPr="003950D5">
        <w:t xml:space="preserve"> timing, target, and QE shock (the latter was observed in the case of the Czech Republic and Romania). The decrease in GDP point to aggregate demand channel, according to which tighter ECB </w:t>
      </w:r>
      <w:r w:rsidRPr="003950D5">
        <w:lastRenderedPageBreak/>
        <w:t xml:space="preserve">monetary policy will diminish economic activity in the euro area leading to less demand for imports from the CEE. </w:t>
      </w:r>
    </w:p>
    <w:p w14:paraId="3A1A8546" w14:textId="77777777" w:rsidR="003950D5" w:rsidRPr="003950D5" w:rsidRDefault="003950D5" w:rsidP="003950D5">
      <w:pPr>
        <w:pStyle w:val="Newparagraph"/>
      </w:pPr>
      <w:r w:rsidRPr="003950D5">
        <w:t>We obtain evidence of appreciation of the local currencies as a response to FG, Timing and QE shocks. This supports the presence of the signalling channel, i.e., the emerging economies are expecting higher economic demand which leads to the appreciation of their currencies.  Target shock results in the depreciation of local currencies. As the tightening policy induced a capital outflow from the CEE countries it consequently led to the depreciation of the currency. This observation follows the concept of the exchange rate channel.</w:t>
      </w:r>
    </w:p>
    <w:p w14:paraId="2677934A" w14:textId="77777777" w:rsidR="003950D5" w:rsidRPr="003950D5" w:rsidRDefault="003950D5" w:rsidP="003950D5">
      <w:pPr>
        <w:pStyle w:val="Newparagraph"/>
      </w:pPr>
      <w:r w:rsidRPr="003950D5">
        <w:t xml:space="preserve">Further, we observe a particularly high rise in growth of interest rates </w:t>
      </w:r>
      <w:proofErr w:type="gramStart"/>
      <w:r w:rsidRPr="003950D5">
        <w:t>with regard to</w:t>
      </w:r>
      <w:proofErr w:type="gramEnd"/>
      <w:r w:rsidRPr="003950D5">
        <w:t xml:space="preserve"> the QE shock for the whole sample of countries and FG shock, in the case of Romania, Hungary and the Czech Republic. Nonetheless we were expecting to obtain a decrease in the interest rates as a response to the QE shock. A possible explanation for the identified result is that the rise will lead to the participants of the financial market investing locally and thus limiting the negative fluctuations of the exchange rate.</w:t>
      </w:r>
    </w:p>
    <w:p w14:paraId="545A54F3" w14:textId="77777777" w:rsidR="003950D5" w:rsidRPr="003950D5" w:rsidRDefault="003950D5" w:rsidP="003950D5">
      <w:pPr>
        <w:pStyle w:val="Newparagraph"/>
      </w:pPr>
      <w:r w:rsidRPr="003950D5">
        <w:t xml:space="preserve">Lastly, we find an ambiguous response of the stock prices as a response to FG, Target, and QE shocks in the case of Czech Republic, </w:t>
      </w:r>
      <w:proofErr w:type="gramStart"/>
      <w:r w:rsidRPr="003950D5">
        <w:t>Hungary</w:t>
      </w:r>
      <w:proofErr w:type="gramEnd"/>
      <w:r w:rsidRPr="003950D5">
        <w:t xml:space="preserve"> and Poland. Inflation of the emergent countries experienced a drop caused both by QE and Timing shock, which we attribute to tighter monetary policy expectations, while the Target shock resulted in an increase of the inflation of the countries.</w:t>
      </w:r>
    </w:p>
    <w:p w14:paraId="2879CAAA" w14:textId="77777777" w:rsidR="003950D5" w:rsidRPr="003950D5" w:rsidRDefault="003950D5" w:rsidP="003950D5">
      <w:pPr>
        <w:pStyle w:val="Newparagraph"/>
      </w:pPr>
      <w:r w:rsidRPr="003950D5">
        <w:t>The paper faces several limitations. Firstly, in the light of the VARX model we are limited to setting a narrow spectrum of variables, which bounds the interpretation of results. Also, as explained previously, we were constrained to use a reduced sample to analyse the QE responses, which could negatively affect the accuracy of the results. Thus, the limitations of the paper open new directions for further study.</w:t>
      </w:r>
    </w:p>
    <w:p w14:paraId="74559CAA" w14:textId="13680C1D" w:rsidR="00E85038" w:rsidRDefault="00E85038" w:rsidP="00E85038">
      <w:pPr>
        <w:pStyle w:val="Newparagraph"/>
      </w:pPr>
    </w:p>
    <w:p w14:paraId="19A56CCF" w14:textId="4137A8B6" w:rsidR="00E85038" w:rsidRDefault="00E85038" w:rsidP="00E85038">
      <w:pPr>
        <w:pStyle w:val="Newparagraph"/>
      </w:pPr>
    </w:p>
    <w:p w14:paraId="0F5025A3" w14:textId="46A6B519" w:rsidR="00E85038" w:rsidRDefault="00E85038" w:rsidP="00E85038">
      <w:pPr>
        <w:pStyle w:val="Newparagraph"/>
      </w:pPr>
    </w:p>
    <w:p w14:paraId="047E6C48" w14:textId="78721EE3" w:rsidR="00E85038" w:rsidRDefault="00E85038" w:rsidP="00E85038">
      <w:pPr>
        <w:pStyle w:val="Newparagraph"/>
      </w:pPr>
    </w:p>
    <w:p w14:paraId="4D17D53D" w14:textId="34F038D7" w:rsidR="00E85038" w:rsidRDefault="00E85038" w:rsidP="00E85038">
      <w:pPr>
        <w:pStyle w:val="Newparagraph"/>
      </w:pPr>
    </w:p>
    <w:p w14:paraId="7EC165F8" w14:textId="6665A273" w:rsidR="00E85038" w:rsidRDefault="00E85038" w:rsidP="00E85038">
      <w:pPr>
        <w:pStyle w:val="Newparagraph"/>
      </w:pPr>
    </w:p>
    <w:p w14:paraId="6415FE9A" w14:textId="68A7023D" w:rsidR="00E85038" w:rsidRDefault="00E85038" w:rsidP="00E85038">
      <w:pPr>
        <w:pStyle w:val="Newparagraph"/>
      </w:pPr>
    </w:p>
    <w:p w14:paraId="3CD23502" w14:textId="77777777" w:rsidR="00E85038" w:rsidRPr="00E85038" w:rsidRDefault="00E85038" w:rsidP="00314DD9">
      <w:pPr>
        <w:pStyle w:val="Newparagraph"/>
        <w:ind w:firstLine="0"/>
      </w:pPr>
    </w:p>
    <w:p w14:paraId="20D6DD51" w14:textId="77777777" w:rsidR="000C6BED" w:rsidRPr="00042406" w:rsidRDefault="002E28DD" w:rsidP="00042406">
      <w:pPr>
        <w:pStyle w:val="Heading1"/>
        <w:jc w:val="center"/>
        <w:rPr>
          <w:i/>
          <w:iCs/>
        </w:rPr>
      </w:pPr>
      <w:bookmarkStart w:id="31" w:name="_Toc268437083"/>
      <w:bookmarkStart w:id="32" w:name="_Toc371588567"/>
      <w:bookmarkStart w:id="33" w:name="_Toc99919342"/>
      <w:r w:rsidRPr="00042406">
        <w:rPr>
          <w:i/>
          <w:iCs/>
        </w:rPr>
        <w:lastRenderedPageBreak/>
        <w:t xml:space="preserve">6. </w:t>
      </w:r>
      <w:r w:rsidR="000C6BED" w:rsidRPr="00042406">
        <w:rPr>
          <w:i/>
          <w:iCs/>
        </w:rPr>
        <w:t>Conclusions</w:t>
      </w:r>
      <w:bookmarkEnd w:id="31"/>
      <w:bookmarkEnd w:id="32"/>
      <w:bookmarkEnd w:id="33"/>
    </w:p>
    <w:p w14:paraId="758B92E4" w14:textId="77777777" w:rsidR="003950D5" w:rsidRPr="003950D5" w:rsidRDefault="003950D5" w:rsidP="003950D5">
      <w:pPr>
        <w:pStyle w:val="Newparagraph"/>
      </w:pPr>
      <w:bookmarkStart w:id="34" w:name="_Toc268437084"/>
      <w:r w:rsidRPr="003950D5">
        <w:t xml:space="preserve">This study contributes to the literature about the ECB monetary policy </w:t>
      </w:r>
      <w:proofErr w:type="spellStart"/>
      <w:r w:rsidRPr="003950D5">
        <w:t>spillovers</w:t>
      </w:r>
      <w:proofErr w:type="spellEnd"/>
      <w:r w:rsidRPr="003950D5">
        <w:t xml:space="preserve"> to the Central and Eastern European countries, namely the Czech Republic, Poland, Hungary, and Romania. The set of countries was chosen due to close trade relations with the euro area. Furthermore, given the ECB's relatively recent transition from conventional to unconventional policy instruments, this paper focuses on the latter. Given that policy is usually carried out after a thorough analysis of the current economic situation, some of its potential effects may be “priced-in” by financial market participants even before the ECB makes actual decisions. Therefore, to estimate the pure monetary policy effect, the shocks have been extracted with the help of high-frequency data provided by Altavilla et al. (2019). These shocks also make it possible to distinguish between different types of policies. </w:t>
      </w:r>
      <w:proofErr w:type="gramStart"/>
      <w:r w:rsidRPr="003950D5">
        <w:t>In particular, there</w:t>
      </w:r>
      <w:proofErr w:type="gramEnd"/>
      <w:r w:rsidRPr="003950D5">
        <w:t xml:space="preserve"> are four shocks extracted: Target shock which is associated with conventional monetary policy, Timing and Forward Guidance (FG) shocks related to the communication policies of the ECB, and QE shock which captures the surprise effects of Asset Purchase Programs. Further, the shocks along with macroeconomic variables of the specified countries were </w:t>
      </w:r>
      <w:proofErr w:type="spellStart"/>
      <w:r w:rsidRPr="003950D5">
        <w:t>analyzed</w:t>
      </w:r>
      <w:proofErr w:type="spellEnd"/>
      <w:r w:rsidRPr="003950D5">
        <w:t xml:space="preserve"> with the help of VARX model.</w:t>
      </w:r>
    </w:p>
    <w:p w14:paraId="068F32A3" w14:textId="77777777" w:rsidR="003950D5" w:rsidRPr="003950D5" w:rsidRDefault="003950D5" w:rsidP="003950D5">
      <w:pPr>
        <w:pStyle w:val="Newparagraph"/>
      </w:pPr>
      <w:r w:rsidRPr="003950D5">
        <w:t xml:space="preserve">The empirical evidence suggests that the direction and magnitude of the spillover effects varies depending on the policy shock observed. Moreover, the timing of the response also differs depending on the shock. Generally, QE shock leads to the reaction of the variables in the long-term, whereas other shocks induce short- or medium-term effects. The findings show that Target and Timing shocks negatively affect the GDP growth, whereas FG causes a positive reaction. QE shock, however, provides inconclusive results with regards to the GDP growth. The local currency tends to appreciate in response to QE, FG, and Timing shocks, while the Target shock generate the opposite effect. In terms of short-term interest rates, we obtain uniform raise from the QE and FG policy shocks, whereas Target and Timing do not show any significant reaction. The effects of inflation as well as stock prices are ambiguous. When explaining the results, we found the evidence for exchange rate and </w:t>
      </w:r>
      <w:proofErr w:type="spellStart"/>
      <w:r w:rsidRPr="003950D5">
        <w:t>signaling</w:t>
      </w:r>
      <w:proofErr w:type="spellEnd"/>
      <w:r w:rsidRPr="003950D5">
        <w:t xml:space="preserve"> channels.</w:t>
      </w:r>
    </w:p>
    <w:p w14:paraId="42762CE2" w14:textId="77777777" w:rsidR="00FE038B" w:rsidRPr="003950D5" w:rsidRDefault="00FE038B" w:rsidP="003950D5">
      <w:pPr>
        <w:pStyle w:val="Newparagraph"/>
      </w:pPr>
      <w:r>
        <w:br w:type="page"/>
      </w:r>
    </w:p>
    <w:p w14:paraId="4AA4AE2C" w14:textId="77777777" w:rsidR="000C6BED" w:rsidRPr="00042406" w:rsidRDefault="002E28DD" w:rsidP="00042406">
      <w:pPr>
        <w:pStyle w:val="Heading1"/>
        <w:jc w:val="center"/>
        <w:rPr>
          <w:i/>
          <w:iCs/>
        </w:rPr>
      </w:pPr>
      <w:bookmarkStart w:id="35" w:name="_Toc371588568"/>
      <w:bookmarkStart w:id="36" w:name="_Toc99919343"/>
      <w:r w:rsidRPr="00042406">
        <w:rPr>
          <w:i/>
          <w:iCs/>
        </w:rPr>
        <w:lastRenderedPageBreak/>
        <w:t xml:space="preserve">7. </w:t>
      </w:r>
      <w:r w:rsidR="000C6BED" w:rsidRPr="00042406">
        <w:rPr>
          <w:i/>
          <w:iCs/>
        </w:rPr>
        <w:t>References</w:t>
      </w:r>
      <w:bookmarkEnd w:id="34"/>
      <w:bookmarkEnd w:id="35"/>
      <w:bookmarkEnd w:id="36"/>
    </w:p>
    <w:p w14:paraId="549FE884" w14:textId="77777777" w:rsidR="003C0F16" w:rsidRPr="004911E1" w:rsidRDefault="003C0F16" w:rsidP="002B68EC">
      <w:pPr>
        <w:pStyle w:val="Paragraph"/>
        <w:rPr>
          <w:i/>
          <w:lang w:val="en-US"/>
        </w:rPr>
      </w:pPr>
    </w:p>
    <w:p w14:paraId="455DE4C5" w14:textId="77777777" w:rsidR="00DC1244" w:rsidRDefault="00DC1244" w:rsidP="00DC1244">
      <w:pPr>
        <w:spacing w:line="360" w:lineRule="auto"/>
        <w:ind w:left="720" w:hanging="720"/>
        <w:contextualSpacing/>
        <w:rPr>
          <w:color w:val="000000"/>
        </w:rPr>
      </w:pPr>
      <w:r w:rsidRPr="00B57815">
        <w:rPr>
          <w:color w:val="000000"/>
        </w:rPr>
        <w:t xml:space="preserve">Altavilla, C., </w:t>
      </w:r>
      <w:proofErr w:type="spellStart"/>
      <w:r w:rsidRPr="00B57815">
        <w:rPr>
          <w:color w:val="000000"/>
        </w:rPr>
        <w:t>Burlon</w:t>
      </w:r>
      <w:proofErr w:type="spellEnd"/>
      <w:r w:rsidRPr="00B57815">
        <w:rPr>
          <w:color w:val="000000"/>
        </w:rPr>
        <w:t xml:space="preserve">, L., </w:t>
      </w:r>
      <w:proofErr w:type="spellStart"/>
      <w:r w:rsidRPr="00B57815">
        <w:rPr>
          <w:color w:val="000000"/>
        </w:rPr>
        <w:t>Giannetti</w:t>
      </w:r>
      <w:proofErr w:type="spellEnd"/>
      <w:r w:rsidRPr="00B57815">
        <w:rPr>
          <w:color w:val="000000"/>
        </w:rPr>
        <w:t>, M., &amp; Holton, S. (2021). Is there a zero lower bound? The effects of negative policy rates on banks and firms. Journal of Financial Economics.</w:t>
      </w:r>
    </w:p>
    <w:p w14:paraId="3E1E4670" w14:textId="77777777" w:rsidR="00DC1244" w:rsidRPr="00903BC1" w:rsidRDefault="00DC1244" w:rsidP="00DC1244">
      <w:pPr>
        <w:spacing w:line="360" w:lineRule="auto"/>
        <w:ind w:left="720" w:hanging="720"/>
        <w:contextualSpacing/>
        <w:rPr>
          <w:color w:val="000000"/>
        </w:rPr>
      </w:pPr>
      <w:r w:rsidRPr="00903BC1">
        <w:rPr>
          <w:color w:val="000000"/>
        </w:rPr>
        <w:t xml:space="preserve">Altavilla, C., </w:t>
      </w:r>
      <w:proofErr w:type="spellStart"/>
      <w:r w:rsidRPr="00903BC1">
        <w:rPr>
          <w:color w:val="000000"/>
        </w:rPr>
        <w:t>Boucinha</w:t>
      </w:r>
      <w:proofErr w:type="spellEnd"/>
      <w:r w:rsidRPr="00903BC1">
        <w:rPr>
          <w:color w:val="000000"/>
        </w:rPr>
        <w:t xml:space="preserve">, M., </w:t>
      </w:r>
      <w:proofErr w:type="spellStart"/>
      <w:r w:rsidRPr="00903BC1">
        <w:rPr>
          <w:color w:val="000000"/>
        </w:rPr>
        <w:t>Peydro</w:t>
      </w:r>
      <w:proofErr w:type="spellEnd"/>
      <w:r w:rsidRPr="00903BC1">
        <w:rPr>
          <w:color w:val="000000"/>
        </w:rPr>
        <w:t xml:space="preserve">, J.-L., </w:t>
      </w:r>
      <w:r>
        <w:rPr>
          <w:color w:val="000000"/>
        </w:rPr>
        <w:t>(</w:t>
      </w:r>
      <w:r w:rsidRPr="00903BC1">
        <w:rPr>
          <w:color w:val="000000"/>
        </w:rPr>
        <w:t>2018</w:t>
      </w:r>
      <w:r>
        <w:rPr>
          <w:color w:val="000000"/>
        </w:rPr>
        <w:t>)</w:t>
      </w:r>
      <w:r w:rsidRPr="00903BC1">
        <w:rPr>
          <w:color w:val="000000"/>
        </w:rPr>
        <w:t xml:space="preserve">. Monetary policy and bank profitability in a low interest rate environment. Econ. Policy 33 (96), 531–586. </w:t>
      </w:r>
      <w:proofErr w:type="spellStart"/>
      <w:r w:rsidRPr="00903BC1">
        <w:rPr>
          <w:color w:val="000000"/>
        </w:rPr>
        <w:t>Amzallag</w:t>
      </w:r>
      <w:proofErr w:type="spellEnd"/>
      <w:r w:rsidRPr="00903BC1">
        <w:rPr>
          <w:color w:val="000000"/>
        </w:rPr>
        <w:t>, A., Alessandro, C., Dimitris, G., João, S., 2019, Monetary policy transmission to mortgages in a negative interest rate environment, ECB Working Paper Series. no. 2243, ECB, February. Retrieved from https://crei.cat/wp-content/uploads/2020/05/Alvailla-et-al-2018.pdf</w:t>
      </w:r>
    </w:p>
    <w:p w14:paraId="2A810D9B" w14:textId="1CED7744" w:rsidR="00DC1244" w:rsidRPr="00903BC1" w:rsidRDefault="00DC1244" w:rsidP="00DC1244">
      <w:pPr>
        <w:spacing w:line="360" w:lineRule="auto"/>
        <w:ind w:left="720" w:hanging="720"/>
        <w:contextualSpacing/>
        <w:rPr>
          <w:color w:val="000000"/>
        </w:rPr>
      </w:pPr>
      <w:r w:rsidRPr="00903BC1">
        <w:rPr>
          <w:color w:val="000000"/>
        </w:rPr>
        <w:t xml:space="preserve">Altavilla, C., </w:t>
      </w:r>
      <w:proofErr w:type="spellStart"/>
      <w:r w:rsidRPr="00903BC1">
        <w:rPr>
          <w:color w:val="000000"/>
        </w:rPr>
        <w:t>Brugnolini</w:t>
      </w:r>
      <w:proofErr w:type="spellEnd"/>
      <w:r w:rsidRPr="00903BC1">
        <w:rPr>
          <w:color w:val="000000"/>
        </w:rPr>
        <w:t xml:space="preserve">, L., </w:t>
      </w:r>
      <w:proofErr w:type="spellStart"/>
      <w:r w:rsidRPr="00903BC1">
        <w:rPr>
          <w:color w:val="000000"/>
        </w:rPr>
        <w:t>Gürkaynak</w:t>
      </w:r>
      <w:proofErr w:type="spellEnd"/>
      <w:r w:rsidRPr="00903BC1">
        <w:rPr>
          <w:color w:val="000000"/>
        </w:rPr>
        <w:t xml:space="preserve">, R.S., Motto, R., Ragusa, G., </w:t>
      </w:r>
      <w:r>
        <w:rPr>
          <w:color w:val="000000"/>
        </w:rPr>
        <w:t>(</w:t>
      </w:r>
      <w:r w:rsidRPr="00903BC1">
        <w:rPr>
          <w:color w:val="000000"/>
        </w:rPr>
        <w:t>2019</w:t>
      </w:r>
      <w:r>
        <w:rPr>
          <w:color w:val="000000"/>
        </w:rPr>
        <w:t>)</w:t>
      </w:r>
      <w:r w:rsidRPr="00903BC1">
        <w:rPr>
          <w:color w:val="000000"/>
        </w:rPr>
        <w:t>. Measuring euro area monetary policy. J. Monet. Econ. 108, 162–179 Retrieved from https://www.sciencedirect.com/science/article/pii/S0304393219301497</w:t>
      </w:r>
    </w:p>
    <w:p w14:paraId="33F3C1C2" w14:textId="03DEFF1C" w:rsidR="00DC1244" w:rsidRDefault="00DC1244" w:rsidP="00DC1244">
      <w:pPr>
        <w:spacing w:line="360" w:lineRule="auto"/>
        <w:ind w:left="720" w:hanging="720"/>
        <w:contextualSpacing/>
        <w:rPr>
          <w:color w:val="000000"/>
        </w:rPr>
      </w:pPr>
      <w:r w:rsidRPr="00903BC1">
        <w:rPr>
          <w:color w:val="000000"/>
        </w:rPr>
        <w:t xml:space="preserve">Altavilla, C, L </w:t>
      </w:r>
      <w:proofErr w:type="spellStart"/>
      <w:r w:rsidRPr="00903BC1">
        <w:rPr>
          <w:color w:val="000000"/>
        </w:rPr>
        <w:t>Brugnolini</w:t>
      </w:r>
      <w:proofErr w:type="spellEnd"/>
      <w:r w:rsidRPr="00903BC1">
        <w:rPr>
          <w:color w:val="000000"/>
        </w:rPr>
        <w:t xml:space="preserve">, R </w:t>
      </w:r>
      <w:proofErr w:type="spellStart"/>
      <w:r w:rsidRPr="00903BC1">
        <w:rPr>
          <w:color w:val="000000"/>
        </w:rPr>
        <w:t>Gürkaynak</w:t>
      </w:r>
      <w:proofErr w:type="spellEnd"/>
      <w:r w:rsidRPr="00903BC1">
        <w:rPr>
          <w:color w:val="000000"/>
        </w:rPr>
        <w:t>, R Motto, and G Ragusa (2019</w:t>
      </w:r>
      <w:r w:rsidR="00F96D51">
        <w:rPr>
          <w:color w:val="000000"/>
        </w:rPr>
        <w:t>a</w:t>
      </w:r>
      <w:r w:rsidRPr="00903BC1">
        <w:rPr>
          <w:color w:val="000000"/>
        </w:rPr>
        <w:t>), The Euro Area Monetary Policy Event-Study Database</w:t>
      </w:r>
      <w:r>
        <w:rPr>
          <w:color w:val="000000"/>
        </w:rPr>
        <w:t xml:space="preserve"> </w:t>
      </w:r>
      <w:r w:rsidRPr="00903BC1">
        <w:rPr>
          <w:color w:val="000000"/>
        </w:rPr>
        <w:t xml:space="preserve">, Retrieved from </w:t>
      </w:r>
      <w:hyperlink r:id="rId22" w:history="1">
        <w:r w:rsidRPr="00174D6F">
          <w:rPr>
            <w:color w:val="000000"/>
          </w:rPr>
          <w:t>https://voxeu.org/article/euro-area-monetary-policy-event-study-database</w:t>
        </w:r>
      </w:hyperlink>
    </w:p>
    <w:p w14:paraId="295D1023" w14:textId="77777777" w:rsidR="00DC1244" w:rsidRPr="00BA1732" w:rsidRDefault="00DC1244" w:rsidP="00DC1244">
      <w:pPr>
        <w:spacing w:line="360" w:lineRule="auto"/>
        <w:ind w:left="720" w:hanging="720"/>
        <w:contextualSpacing/>
        <w:rPr>
          <w:color w:val="000000"/>
        </w:rPr>
      </w:pPr>
      <w:proofErr w:type="spellStart"/>
      <w:r w:rsidRPr="00BA1732">
        <w:rPr>
          <w:color w:val="000000"/>
        </w:rPr>
        <w:t>Alpanda</w:t>
      </w:r>
      <w:proofErr w:type="spellEnd"/>
      <w:r w:rsidRPr="00BA1732">
        <w:rPr>
          <w:color w:val="000000"/>
        </w:rPr>
        <w:t xml:space="preserve">, S., &amp; </w:t>
      </w:r>
      <w:proofErr w:type="spellStart"/>
      <w:r w:rsidRPr="00BA1732">
        <w:rPr>
          <w:color w:val="000000"/>
        </w:rPr>
        <w:t>Kabaca</w:t>
      </w:r>
      <w:proofErr w:type="spellEnd"/>
      <w:r w:rsidRPr="00BA1732">
        <w:rPr>
          <w:color w:val="000000"/>
        </w:rPr>
        <w:t xml:space="preserve">, S. (2020). International </w:t>
      </w:r>
      <w:proofErr w:type="spellStart"/>
      <w:r w:rsidRPr="00BA1732">
        <w:rPr>
          <w:color w:val="000000"/>
        </w:rPr>
        <w:t>spillovers</w:t>
      </w:r>
      <w:proofErr w:type="spellEnd"/>
      <w:r w:rsidRPr="00BA1732">
        <w:rPr>
          <w:color w:val="000000"/>
        </w:rPr>
        <w:t xml:space="preserve"> of large-scale asset purchases. Journal of the European Economic Association, 18(1), 342-391. Retrieved from https://academic.oup.com/jeea/article-abstract/18/1/342/5319219?login=false</w:t>
      </w:r>
    </w:p>
    <w:p w14:paraId="7240CE54" w14:textId="77777777" w:rsidR="00DC1244" w:rsidRPr="00903BC1" w:rsidRDefault="00DC1244" w:rsidP="00DC1244">
      <w:pPr>
        <w:spacing w:line="360" w:lineRule="auto"/>
        <w:ind w:left="720" w:hanging="720"/>
        <w:contextualSpacing/>
        <w:rPr>
          <w:color w:val="000000"/>
        </w:rPr>
      </w:pPr>
      <w:proofErr w:type="spellStart"/>
      <w:r w:rsidRPr="005457E6">
        <w:rPr>
          <w:color w:val="000000"/>
        </w:rPr>
        <w:t>Ammer</w:t>
      </w:r>
      <w:proofErr w:type="spellEnd"/>
      <w:r w:rsidRPr="005457E6">
        <w:rPr>
          <w:color w:val="000000"/>
        </w:rPr>
        <w:t xml:space="preserve">, J., De Pooter, M., Erceg, C. J., &amp; </w:t>
      </w:r>
      <w:proofErr w:type="spellStart"/>
      <w:r w:rsidRPr="005457E6">
        <w:rPr>
          <w:color w:val="000000"/>
        </w:rPr>
        <w:t>Kamin</w:t>
      </w:r>
      <w:proofErr w:type="spellEnd"/>
      <w:r w:rsidRPr="005457E6">
        <w:rPr>
          <w:color w:val="000000"/>
        </w:rPr>
        <w:t xml:space="preserve">, S. B. (2016). International </w:t>
      </w:r>
      <w:proofErr w:type="spellStart"/>
      <w:r w:rsidRPr="005457E6">
        <w:rPr>
          <w:color w:val="000000"/>
        </w:rPr>
        <w:t>spillovers</w:t>
      </w:r>
      <w:proofErr w:type="spellEnd"/>
      <w:r w:rsidRPr="005457E6">
        <w:rPr>
          <w:color w:val="000000"/>
        </w:rPr>
        <w:t xml:space="preserve"> of monetary policy (No. 2016-02-08-1). Board of Governors of the Federal Reserve System (US). Retrieved from https://ideas.repec.org/p/fip/fedgin/2016-02-08-1.html</w:t>
      </w:r>
    </w:p>
    <w:p w14:paraId="3B384E86" w14:textId="77777777" w:rsidR="00DC1244" w:rsidRPr="004A765E" w:rsidRDefault="00DC1244" w:rsidP="00DC1244">
      <w:pPr>
        <w:spacing w:line="360" w:lineRule="auto"/>
        <w:ind w:left="720" w:hanging="720"/>
        <w:contextualSpacing/>
        <w:rPr>
          <w:color w:val="000000"/>
        </w:rPr>
      </w:pPr>
      <w:r w:rsidRPr="00903BC1">
        <w:rPr>
          <w:color w:val="000000"/>
        </w:rPr>
        <w:t xml:space="preserve">Andrade, P., </w:t>
      </w:r>
      <w:proofErr w:type="spellStart"/>
      <w:r w:rsidRPr="00903BC1">
        <w:rPr>
          <w:color w:val="000000"/>
        </w:rPr>
        <w:t>Breckenfelder</w:t>
      </w:r>
      <w:proofErr w:type="spellEnd"/>
      <w:r w:rsidRPr="00903BC1">
        <w:rPr>
          <w:color w:val="000000"/>
        </w:rPr>
        <w:t xml:space="preserve">, J., De Fiore, F., Karadi, P., &amp; </w:t>
      </w:r>
      <w:proofErr w:type="spellStart"/>
      <w:r w:rsidRPr="00903BC1">
        <w:rPr>
          <w:color w:val="000000"/>
        </w:rPr>
        <w:t>Tristani</w:t>
      </w:r>
      <w:proofErr w:type="spellEnd"/>
      <w:r w:rsidRPr="00903BC1">
        <w:rPr>
          <w:color w:val="000000"/>
        </w:rPr>
        <w:t>, O. (2016). The ECB's asset purchase programme: an early assessment. Retrieved from https://ideas.repec.org/p/ecb/ecbwps/20161956.html</w:t>
      </w:r>
    </w:p>
    <w:p w14:paraId="7A2934A1" w14:textId="77777777" w:rsidR="00DC1244" w:rsidRPr="00903BC1" w:rsidRDefault="00DC1244" w:rsidP="00DC1244">
      <w:pPr>
        <w:spacing w:line="360" w:lineRule="auto"/>
        <w:ind w:left="720" w:hanging="720"/>
        <w:contextualSpacing/>
        <w:rPr>
          <w:color w:val="000000"/>
        </w:rPr>
      </w:pPr>
      <w:proofErr w:type="spellStart"/>
      <w:r w:rsidRPr="00903BC1">
        <w:rPr>
          <w:color w:val="000000"/>
        </w:rPr>
        <w:t>Andreeva</w:t>
      </w:r>
      <w:proofErr w:type="spellEnd"/>
      <w:r w:rsidRPr="00903BC1">
        <w:rPr>
          <w:color w:val="000000"/>
        </w:rPr>
        <w:t>, D. C., &amp; García-Posada, M. (2021). The impact of the ECB's targeted long-term refinancing operations on banks’ lending policies: The role of competition. Journal of Banking &amp; Finance, 122, 105992. Retrieved from https://www.sciencedirect.com/science/article/pii/S0378426620302545?casa_to</w:t>
      </w:r>
      <w:r w:rsidRPr="00903BC1">
        <w:rPr>
          <w:color w:val="000000"/>
        </w:rPr>
        <w:lastRenderedPageBreak/>
        <w:t>ken=1CU9iMm9AlAAAAAA:RSAztkzQQSbzsRmMApQb0K3qlU8qVMIIzguj8-CG6lexuzyluetoF-kG9wv9m2RIbgmDMBJMQJ0</w:t>
      </w:r>
    </w:p>
    <w:p w14:paraId="19D50F68" w14:textId="77777777" w:rsidR="00DC1244" w:rsidRPr="00903BC1" w:rsidRDefault="00DC1244" w:rsidP="00DC1244">
      <w:pPr>
        <w:spacing w:line="360" w:lineRule="auto"/>
        <w:ind w:left="720" w:hanging="720"/>
        <w:contextualSpacing/>
        <w:rPr>
          <w:color w:val="000000"/>
        </w:rPr>
      </w:pPr>
      <w:proofErr w:type="spellStart"/>
      <w:r w:rsidRPr="00903BC1">
        <w:rPr>
          <w:color w:val="000000"/>
        </w:rPr>
        <w:t>A</w:t>
      </w:r>
      <w:r>
        <w:rPr>
          <w:color w:val="000000"/>
        </w:rPr>
        <w:t>ntal</w:t>
      </w:r>
      <w:proofErr w:type="spellEnd"/>
      <w:r w:rsidRPr="00903BC1">
        <w:rPr>
          <w:color w:val="000000"/>
        </w:rPr>
        <w:t xml:space="preserve">, M., &amp; </w:t>
      </w:r>
      <w:proofErr w:type="spellStart"/>
      <w:r w:rsidRPr="00903BC1">
        <w:rPr>
          <w:color w:val="000000"/>
        </w:rPr>
        <w:t>K</w:t>
      </w:r>
      <w:r>
        <w:rPr>
          <w:color w:val="000000"/>
        </w:rPr>
        <w:t>aszab</w:t>
      </w:r>
      <w:proofErr w:type="spellEnd"/>
      <w:r w:rsidRPr="00903BC1">
        <w:rPr>
          <w:color w:val="000000"/>
        </w:rPr>
        <w:t xml:space="preserve">, L. (2021) </w:t>
      </w:r>
      <w:r>
        <w:rPr>
          <w:color w:val="000000"/>
        </w:rPr>
        <w:t>Spillover Effects on the European Central Bank’s Expanded Asset Purchase Program to Non-eurozone Countries in Central and Eastern Europe.</w:t>
      </w:r>
      <w:r w:rsidRPr="00903BC1">
        <w:rPr>
          <w:color w:val="000000"/>
        </w:rPr>
        <w:t xml:space="preserve"> Retrieved from </w:t>
      </w:r>
      <w:hyperlink r:id="rId23" w:history="1">
        <w:r w:rsidRPr="00903BC1">
          <w:rPr>
            <w:color w:val="000000"/>
          </w:rPr>
          <w:t>https://www.mnb.hu/letoltes/mnb-op-140-final-1.pdf</w:t>
        </w:r>
      </w:hyperlink>
    </w:p>
    <w:p w14:paraId="1DBCD9A2" w14:textId="77777777" w:rsidR="00DC1244" w:rsidRPr="00903BC1" w:rsidRDefault="00DC1244" w:rsidP="00DC1244">
      <w:pPr>
        <w:spacing w:line="360" w:lineRule="auto"/>
        <w:ind w:left="720" w:hanging="720"/>
        <w:contextualSpacing/>
        <w:rPr>
          <w:color w:val="000000"/>
        </w:rPr>
      </w:pPr>
      <w:r w:rsidRPr="00903BC1">
        <w:rPr>
          <w:color w:val="000000"/>
        </w:rPr>
        <w:t xml:space="preserve"> </w:t>
      </w:r>
      <w:proofErr w:type="spellStart"/>
      <w:r w:rsidRPr="00903BC1">
        <w:rPr>
          <w:color w:val="000000"/>
        </w:rPr>
        <w:t>Babecká</w:t>
      </w:r>
      <w:proofErr w:type="spellEnd"/>
      <w:r w:rsidRPr="00903BC1">
        <w:rPr>
          <w:color w:val="000000"/>
        </w:rPr>
        <w:t xml:space="preserve"> </w:t>
      </w:r>
      <w:proofErr w:type="spellStart"/>
      <w:r w:rsidRPr="00903BC1">
        <w:rPr>
          <w:color w:val="000000"/>
        </w:rPr>
        <w:t>Kucharčuková</w:t>
      </w:r>
      <w:proofErr w:type="spellEnd"/>
      <w:r w:rsidRPr="00903BC1">
        <w:rPr>
          <w:color w:val="000000"/>
        </w:rPr>
        <w:t>, Oxana (2014): The impact of exchange rate volatility on trade: Evidence for the Czech Republic, IES Working Paper, No. 03/2014, Charles University in Prague, Institute of Economic Studies (IES), Prague. Retrieved from https://www.econstor.eu/handle/10419/102562</w:t>
      </w:r>
    </w:p>
    <w:p w14:paraId="70F5CEF3" w14:textId="3749F7C0" w:rsidR="00DC1244" w:rsidRPr="00F8472C" w:rsidRDefault="00DC1244" w:rsidP="00DC1244">
      <w:pPr>
        <w:spacing w:line="360" w:lineRule="auto"/>
        <w:ind w:left="720" w:hanging="720"/>
        <w:contextualSpacing/>
        <w:rPr>
          <w:color w:val="000000"/>
        </w:rPr>
      </w:pPr>
      <w:proofErr w:type="spellStart"/>
      <w:r w:rsidRPr="00F8472C">
        <w:rPr>
          <w:color w:val="000000"/>
        </w:rPr>
        <w:t>Babecká</w:t>
      </w:r>
      <w:proofErr w:type="spellEnd"/>
      <w:r w:rsidRPr="00F8472C">
        <w:rPr>
          <w:color w:val="000000"/>
        </w:rPr>
        <w:t xml:space="preserve"> </w:t>
      </w:r>
      <w:proofErr w:type="spellStart"/>
      <w:r w:rsidRPr="00F8472C">
        <w:rPr>
          <w:color w:val="000000"/>
        </w:rPr>
        <w:t>Kucharčuková</w:t>
      </w:r>
      <w:proofErr w:type="spellEnd"/>
      <w:r w:rsidRPr="00F8472C">
        <w:rPr>
          <w:color w:val="000000"/>
        </w:rPr>
        <w:t xml:space="preserve">, O., P. </w:t>
      </w:r>
      <w:proofErr w:type="spellStart"/>
      <w:r w:rsidRPr="00F8472C">
        <w:rPr>
          <w:color w:val="000000"/>
        </w:rPr>
        <w:t>Claeys</w:t>
      </w:r>
      <w:proofErr w:type="spellEnd"/>
      <w:r w:rsidRPr="00F8472C">
        <w:rPr>
          <w:color w:val="000000"/>
        </w:rPr>
        <w:t xml:space="preserve">, and B. </w:t>
      </w:r>
      <w:proofErr w:type="spellStart"/>
      <w:r w:rsidRPr="00F8472C">
        <w:rPr>
          <w:color w:val="000000"/>
        </w:rPr>
        <w:t>Vašíček</w:t>
      </w:r>
      <w:proofErr w:type="spellEnd"/>
      <w:r w:rsidRPr="00F8472C">
        <w:rPr>
          <w:color w:val="000000"/>
        </w:rPr>
        <w:t xml:space="preserve">. </w:t>
      </w:r>
      <w:r>
        <w:rPr>
          <w:color w:val="000000"/>
        </w:rPr>
        <w:t>(</w:t>
      </w:r>
      <w:r w:rsidRPr="00F8472C">
        <w:rPr>
          <w:color w:val="000000"/>
        </w:rPr>
        <w:t>2016</w:t>
      </w:r>
      <w:r>
        <w:rPr>
          <w:color w:val="000000"/>
        </w:rPr>
        <w:t>)</w:t>
      </w:r>
      <w:r w:rsidRPr="00F8472C">
        <w:rPr>
          <w:color w:val="000000"/>
        </w:rPr>
        <w:t xml:space="preserve">. Spillover of the ECB’s Monetary Policy outside the Euro Area: How Different Is Conventional from Unconventional Policy? Journal of Policy </w:t>
      </w:r>
      <w:proofErr w:type="spellStart"/>
      <w:r w:rsidRPr="00F8472C">
        <w:rPr>
          <w:color w:val="000000"/>
        </w:rPr>
        <w:t>Modeling</w:t>
      </w:r>
      <w:proofErr w:type="spellEnd"/>
      <w:r w:rsidRPr="00F8472C">
        <w:rPr>
          <w:color w:val="000000"/>
        </w:rPr>
        <w:t xml:space="preserve"> 38 (2):199–225. </w:t>
      </w:r>
      <w:r>
        <w:rPr>
          <w:color w:val="000000"/>
        </w:rPr>
        <w:t xml:space="preserve">Retrieved from </w:t>
      </w:r>
      <w:r w:rsidRPr="00903BC1">
        <w:rPr>
          <w:color w:val="000000"/>
        </w:rPr>
        <w:t>https://www.sciencedirect.com/science/article/pii/S0161893816000120?casa_token=kic4fkI_v8AAAAAA:1SCX4z1gWGTwio6rC_KAUmiVJMlx5RSyadgEOzPihSVcPVuq0INeR0c49YPguFJdS9bEhH0rGSI</w:t>
      </w:r>
    </w:p>
    <w:p w14:paraId="21113BD6" w14:textId="77777777" w:rsidR="00DC1244" w:rsidRDefault="00DC1244" w:rsidP="00DC1244">
      <w:pPr>
        <w:spacing w:line="360" w:lineRule="auto"/>
        <w:ind w:left="720" w:hanging="720"/>
        <w:contextualSpacing/>
        <w:rPr>
          <w:color w:val="000000"/>
        </w:rPr>
      </w:pPr>
      <w:proofErr w:type="spellStart"/>
      <w:r w:rsidRPr="00903BC1">
        <w:rPr>
          <w:color w:val="000000"/>
        </w:rPr>
        <w:t>Boungou</w:t>
      </w:r>
      <w:proofErr w:type="spellEnd"/>
      <w:r w:rsidRPr="00903BC1">
        <w:rPr>
          <w:color w:val="000000"/>
        </w:rPr>
        <w:t>, W. (2020). Negative interest rates policy and banks’ risk-taking: Empirical evidence. Economics Letters, 186, 108760.</w:t>
      </w:r>
      <w:r w:rsidRPr="00F8472C">
        <w:rPr>
          <w:color w:val="000000"/>
        </w:rPr>
        <w:t xml:space="preserve"> </w:t>
      </w:r>
      <w:r>
        <w:rPr>
          <w:color w:val="000000"/>
        </w:rPr>
        <w:t xml:space="preserve">Retrieved from </w:t>
      </w:r>
      <w:hyperlink r:id="rId24" w:history="1">
        <w:r w:rsidRPr="00903BC1">
          <w:rPr>
            <w:color w:val="000000"/>
          </w:rPr>
          <w:t>https://www.sciencedirect.com/science/article/pii/S0165176519303817?casa_token=OLDKfALCnMsAAAAA:jdAly4MmJ7ytabDedvUpi7qU7Jj41Jfc1174AVaM0aYoUIPpcdhrkJo8tuQVEAtw6TQt8Xx2ZcU</w:t>
        </w:r>
      </w:hyperlink>
    </w:p>
    <w:p w14:paraId="2D314873" w14:textId="71ED0FC9" w:rsidR="00DC1244" w:rsidRPr="005457E6" w:rsidRDefault="00DC1244" w:rsidP="00DC1244">
      <w:pPr>
        <w:spacing w:line="360" w:lineRule="auto"/>
        <w:ind w:left="720" w:hanging="720"/>
        <w:contextualSpacing/>
        <w:rPr>
          <w:color w:val="000000"/>
        </w:rPr>
      </w:pPr>
      <w:proofErr w:type="spellStart"/>
      <w:r w:rsidRPr="005457E6">
        <w:rPr>
          <w:color w:val="000000"/>
        </w:rPr>
        <w:t>Barigozzi</w:t>
      </w:r>
      <w:proofErr w:type="spellEnd"/>
      <w:r w:rsidRPr="005457E6">
        <w:rPr>
          <w:color w:val="000000"/>
        </w:rPr>
        <w:t xml:space="preserve">, M., Conti, A. M., &amp; </w:t>
      </w:r>
      <w:proofErr w:type="spellStart"/>
      <w:r w:rsidRPr="005457E6">
        <w:rPr>
          <w:color w:val="000000"/>
        </w:rPr>
        <w:t>Luciani</w:t>
      </w:r>
      <w:proofErr w:type="spellEnd"/>
      <w:r w:rsidRPr="005457E6">
        <w:rPr>
          <w:color w:val="000000"/>
        </w:rPr>
        <w:t>, M. (2014). Do euro area countries respond asymmetrically to the common monetary policy? Oxford bulletin of economics and statistics, 76(5), 693-714. Retrieved from https://onlinelibrary.wiley.com/doi/abs/10.1111/obes.12038</w:t>
      </w:r>
    </w:p>
    <w:p w14:paraId="56B53719" w14:textId="5C504CC3" w:rsidR="00DC1244" w:rsidRDefault="00DC1244" w:rsidP="00DC1244">
      <w:pPr>
        <w:spacing w:line="360" w:lineRule="auto"/>
        <w:ind w:left="720" w:hanging="720"/>
        <w:contextualSpacing/>
        <w:rPr>
          <w:color w:val="000000"/>
        </w:rPr>
      </w:pPr>
      <w:r w:rsidRPr="005457E6">
        <w:rPr>
          <w:color w:val="000000"/>
        </w:rPr>
        <w:t xml:space="preserve">Bauer, M., &amp; Rudebusch, G. D. (2014). The </w:t>
      </w:r>
      <w:proofErr w:type="spellStart"/>
      <w:r w:rsidRPr="005457E6">
        <w:rPr>
          <w:color w:val="000000"/>
        </w:rPr>
        <w:t>signaling</w:t>
      </w:r>
      <w:proofErr w:type="spellEnd"/>
      <w:r w:rsidRPr="005457E6">
        <w:rPr>
          <w:color w:val="000000"/>
        </w:rPr>
        <w:t xml:space="preserve"> channel for Federal Reserve bond purchases. International Journal of Central Banking. Retrieved from </w:t>
      </w:r>
      <w:hyperlink r:id="rId25" w:history="1">
        <w:r w:rsidR="00E91B5B" w:rsidRPr="00E91B5B">
          <w:rPr>
            <w:color w:val="000000"/>
          </w:rPr>
          <w:t>https://papers.ssrn.com/sol3/papers.cfm?abstract_id=2334518</w:t>
        </w:r>
      </w:hyperlink>
    </w:p>
    <w:p w14:paraId="1AF5F45B" w14:textId="6657E731" w:rsidR="00E91B5B" w:rsidRPr="005457E6" w:rsidRDefault="00E91B5B" w:rsidP="00DC1244">
      <w:pPr>
        <w:spacing w:line="360" w:lineRule="auto"/>
        <w:ind w:left="720" w:hanging="720"/>
        <w:contextualSpacing/>
        <w:rPr>
          <w:color w:val="000000"/>
        </w:rPr>
      </w:pPr>
      <w:proofErr w:type="spellStart"/>
      <w:r w:rsidRPr="00E91B5B">
        <w:rPr>
          <w:color w:val="000000"/>
        </w:rPr>
        <w:t>Bundick</w:t>
      </w:r>
      <w:proofErr w:type="spellEnd"/>
      <w:r w:rsidRPr="00E91B5B">
        <w:rPr>
          <w:color w:val="000000"/>
        </w:rPr>
        <w:t xml:space="preserve">, B., </w:t>
      </w:r>
      <w:proofErr w:type="spellStart"/>
      <w:r w:rsidRPr="00E91B5B">
        <w:rPr>
          <w:color w:val="000000"/>
        </w:rPr>
        <w:t>Herriford</w:t>
      </w:r>
      <w:proofErr w:type="spellEnd"/>
      <w:r w:rsidRPr="00E91B5B">
        <w:rPr>
          <w:color w:val="000000"/>
        </w:rPr>
        <w:t>, T., &amp; Smith, A. (2017). Forward guidance, monetary policy uncertainty, and the term premium. Monetary Policy Uncertainty, and the Term Premium (July 2017).</w:t>
      </w:r>
    </w:p>
    <w:p w14:paraId="010F9353" w14:textId="77777777" w:rsidR="00DC1244" w:rsidRPr="005457E6" w:rsidRDefault="00DC1244" w:rsidP="00DC1244">
      <w:pPr>
        <w:spacing w:line="360" w:lineRule="auto"/>
        <w:ind w:left="720" w:hanging="720"/>
        <w:contextualSpacing/>
        <w:rPr>
          <w:color w:val="000000"/>
        </w:rPr>
      </w:pPr>
      <w:r w:rsidRPr="005457E6">
        <w:rPr>
          <w:color w:val="000000"/>
        </w:rPr>
        <w:lastRenderedPageBreak/>
        <w:t xml:space="preserve">Beckmann, E., </w:t>
      </w:r>
      <w:proofErr w:type="spellStart"/>
      <w:r w:rsidRPr="005457E6">
        <w:rPr>
          <w:color w:val="000000"/>
        </w:rPr>
        <w:t>Scheiber</w:t>
      </w:r>
      <w:proofErr w:type="spellEnd"/>
      <w:r w:rsidRPr="005457E6">
        <w:rPr>
          <w:color w:val="000000"/>
        </w:rPr>
        <w:t xml:space="preserve">, T., &amp; Stix, H. (2011). How the crisis affected foreign currency borrowing in CESEE: Microeconomic evidence and policy implications. Focus on European Economic Integration Q, 1, 25-43. </w:t>
      </w:r>
    </w:p>
    <w:p w14:paraId="4D939771" w14:textId="77777777" w:rsidR="00DC1244" w:rsidRPr="005457E6" w:rsidRDefault="00DC1244" w:rsidP="00DC1244">
      <w:pPr>
        <w:spacing w:line="360" w:lineRule="auto"/>
        <w:ind w:left="720" w:hanging="720"/>
        <w:contextualSpacing/>
        <w:rPr>
          <w:color w:val="000000"/>
        </w:rPr>
      </w:pPr>
      <w:proofErr w:type="spellStart"/>
      <w:r w:rsidRPr="005457E6">
        <w:rPr>
          <w:color w:val="000000"/>
        </w:rPr>
        <w:t>Benkovskis</w:t>
      </w:r>
      <w:proofErr w:type="spellEnd"/>
      <w:r w:rsidRPr="005457E6">
        <w:rPr>
          <w:color w:val="000000"/>
        </w:rPr>
        <w:t xml:space="preserve">, K., </w:t>
      </w:r>
      <w:proofErr w:type="spellStart"/>
      <w:r w:rsidRPr="005457E6">
        <w:rPr>
          <w:color w:val="000000"/>
        </w:rPr>
        <w:t>Bessonovs</w:t>
      </w:r>
      <w:proofErr w:type="spellEnd"/>
      <w:r w:rsidRPr="005457E6">
        <w:rPr>
          <w:color w:val="000000"/>
        </w:rPr>
        <w:t xml:space="preserve">, A., </w:t>
      </w:r>
      <w:proofErr w:type="spellStart"/>
      <w:r w:rsidRPr="005457E6">
        <w:rPr>
          <w:color w:val="000000"/>
        </w:rPr>
        <w:t>Feldkircher</w:t>
      </w:r>
      <w:proofErr w:type="spellEnd"/>
      <w:r w:rsidRPr="005457E6">
        <w:rPr>
          <w:color w:val="000000"/>
        </w:rPr>
        <w:t xml:space="preserve">, M., &amp; </w:t>
      </w:r>
      <w:proofErr w:type="spellStart"/>
      <w:r w:rsidRPr="005457E6">
        <w:rPr>
          <w:color w:val="000000"/>
        </w:rPr>
        <w:t>Wörz</w:t>
      </w:r>
      <w:proofErr w:type="spellEnd"/>
      <w:r w:rsidRPr="005457E6">
        <w:rPr>
          <w:color w:val="000000"/>
        </w:rPr>
        <w:t xml:space="preserve">, J. (2011). The transmission of euro area monetary shocks to the Czech Republic, </w:t>
      </w:r>
      <w:proofErr w:type="gramStart"/>
      <w:r w:rsidRPr="005457E6">
        <w:rPr>
          <w:color w:val="000000"/>
        </w:rPr>
        <w:t>Poland</w:t>
      </w:r>
      <w:proofErr w:type="gramEnd"/>
      <w:r w:rsidRPr="005457E6">
        <w:rPr>
          <w:color w:val="000000"/>
        </w:rPr>
        <w:t xml:space="preserve"> and Hungary: evidence from a FAVAR model. Focus on European Economic Integration, 3, 8-36. Retrieved from https://www.researchgate.net/profile/Martin-Feldkircher/publication/227462640_The_Transmission_of_Euro_Area_Monetary_Shocks_to_the_Czech_Republic_Poland_and_Hungary_Evidence_from_a_FAVAR_Model/links/0fcfd50e3018f6ae24000000/The-Transmission-of-Euro-Area-Monetary-Shocks-to-the-Czech-Republic-Poland-and-Hungary-Evidence-from-a-FAVAR-Model.pdf</w:t>
      </w:r>
    </w:p>
    <w:p w14:paraId="32259E0C" w14:textId="77777777" w:rsidR="00DC1244" w:rsidRPr="005457E6" w:rsidRDefault="00DC1244" w:rsidP="00DC1244">
      <w:pPr>
        <w:spacing w:line="360" w:lineRule="auto"/>
        <w:ind w:left="720" w:hanging="720"/>
        <w:contextualSpacing/>
        <w:rPr>
          <w:color w:val="000000"/>
        </w:rPr>
      </w:pPr>
      <w:r w:rsidRPr="005457E6">
        <w:rPr>
          <w:color w:val="000000"/>
        </w:rPr>
        <w:t>Bernanke, B. S., &amp; Gertler, M. (1995). Inside the black box: the credit channel of monetary policy transmission. Journal of Economic perspectives, 9(4), 27-48.</w:t>
      </w:r>
    </w:p>
    <w:p w14:paraId="682D090D" w14:textId="77777777" w:rsidR="00DC1244" w:rsidRPr="005457E6" w:rsidRDefault="00DC1244" w:rsidP="00DC1244">
      <w:pPr>
        <w:spacing w:line="360" w:lineRule="auto"/>
        <w:ind w:left="720" w:hanging="720"/>
        <w:contextualSpacing/>
        <w:rPr>
          <w:color w:val="000000"/>
        </w:rPr>
      </w:pPr>
      <w:r w:rsidRPr="005457E6">
        <w:rPr>
          <w:color w:val="000000"/>
        </w:rPr>
        <w:t>Bhattarai, S., Chatterjee, A., &amp; Park, W. Y. (2021). Effects of US quantitative easing on emerging market economies. Journal of Economic Dynamics and Control, 122, 104031. Retrieved from https://www.sciencedirect.com/science/article/pii/S0165188920301998?casa_token=stjvmtqte-oAAAAA:H642_rIz6e3Rzs4Sn9mHdBMl6RoR_yDZ3vPSLkdmBFuDUC99hOtUNhb2Ri7zxlVRBOF5nGUj2-w</w:t>
      </w:r>
    </w:p>
    <w:p w14:paraId="22C117A2" w14:textId="77777777" w:rsidR="00DC1244" w:rsidRPr="005457E6" w:rsidRDefault="00DC1244" w:rsidP="00DC1244">
      <w:pPr>
        <w:spacing w:line="360" w:lineRule="auto"/>
        <w:ind w:left="720" w:hanging="720"/>
        <w:contextualSpacing/>
        <w:rPr>
          <w:color w:val="000000"/>
        </w:rPr>
      </w:pPr>
      <w:proofErr w:type="spellStart"/>
      <w:r w:rsidRPr="005457E6">
        <w:rPr>
          <w:color w:val="000000"/>
        </w:rPr>
        <w:t>Blaes</w:t>
      </w:r>
      <w:proofErr w:type="spellEnd"/>
      <w:r w:rsidRPr="005457E6">
        <w:rPr>
          <w:color w:val="000000"/>
        </w:rPr>
        <w:t>, B. (2009). Money and monetary policy transmission in the euro area: evidence from FAVAR-and VAR approaches. Available at SSRN 2785347.</w:t>
      </w:r>
    </w:p>
    <w:p w14:paraId="64B46882" w14:textId="77777777" w:rsidR="00DC1244" w:rsidRPr="005457E6" w:rsidRDefault="00DC1244" w:rsidP="00DC1244">
      <w:pPr>
        <w:spacing w:line="360" w:lineRule="auto"/>
        <w:ind w:left="720" w:hanging="720"/>
        <w:contextualSpacing/>
        <w:rPr>
          <w:color w:val="000000"/>
        </w:rPr>
      </w:pPr>
      <w:proofErr w:type="spellStart"/>
      <w:r w:rsidRPr="005457E6">
        <w:rPr>
          <w:color w:val="000000"/>
        </w:rPr>
        <w:t>Bluwstein</w:t>
      </w:r>
      <w:proofErr w:type="spellEnd"/>
      <w:r w:rsidRPr="005457E6">
        <w:rPr>
          <w:color w:val="000000"/>
        </w:rPr>
        <w:t>, K., &amp; Canova, F. (2018). Beggar-thy-</w:t>
      </w:r>
      <w:proofErr w:type="spellStart"/>
      <w:r w:rsidRPr="005457E6">
        <w:rPr>
          <w:color w:val="000000"/>
        </w:rPr>
        <w:t>neighbor</w:t>
      </w:r>
      <w:proofErr w:type="spellEnd"/>
      <w:r w:rsidRPr="005457E6">
        <w:rPr>
          <w:color w:val="000000"/>
        </w:rPr>
        <w:t>? The international effects of ECB unconventional monetary policy measures. 45th issue (September 2016) of the International Journal of Central Banking. Retrieved from https://www.ijcb.org/journal/ijcb16q3a2.pdf</w:t>
      </w:r>
    </w:p>
    <w:p w14:paraId="781A2814" w14:textId="77777777" w:rsidR="00DC1244" w:rsidRPr="005457E6" w:rsidRDefault="00DC1244" w:rsidP="00DC1244">
      <w:pPr>
        <w:spacing w:line="360" w:lineRule="auto"/>
        <w:ind w:left="720" w:hanging="720"/>
        <w:contextualSpacing/>
        <w:rPr>
          <w:color w:val="000000"/>
        </w:rPr>
      </w:pPr>
      <w:r w:rsidRPr="005457E6">
        <w:rPr>
          <w:color w:val="000000"/>
        </w:rPr>
        <w:t xml:space="preserve">Boivin, J., </w:t>
      </w:r>
      <w:proofErr w:type="spellStart"/>
      <w:r w:rsidRPr="005457E6">
        <w:rPr>
          <w:color w:val="000000"/>
        </w:rPr>
        <w:t>Giannoni</w:t>
      </w:r>
      <w:proofErr w:type="spellEnd"/>
      <w:r w:rsidRPr="005457E6">
        <w:rPr>
          <w:color w:val="000000"/>
        </w:rPr>
        <w:t xml:space="preserve">, M. P., &amp; </w:t>
      </w:r>
      <w:proofErr w:type="spellStart"/>
      <w:r w:rsidRPr="005457E6">
        <w:rPr>
          <w:color w:val="000000"/>
        </w:rPr>
        <w:t>Mojon</w:t>
      </w:r>
      <w:proofErr w:type="spellEnd"/>
      <w:r w:rsidRPr="005457E6">
        <w:rPr>
          <w:color w:val="000000"/>
        </w:rPr>
        <w:t>, B. (2008). How has the Euro changed the monetary transmission? (No. w14190). National Bureau of Economic Research. Retrieved from https://www.journals.uchicago.edu/doi/full/10.1086/593083</w:t>
      </w:r>
    </w:p>
    <w:p w14:paraId="1E8073D7" w14:textId="77777777" w:rsidR="00DC1244" w:rsidRDefault="00DC1244" w:rsidP="00DC1244">
      <w:pPr>
        <w:spacing w:line="360" w:lineRule="auto"/>
        <w:ind w:left="720" w:hanging="720"/>
        <w:contextualSpacing/>
        <w:rPr>
          <w:color w:val="000000"/>
        </w:rPr>
      </w:pPr>
      <w:r w:rsidRPr="005457E6">
        <w:rPr>
          <w:color w:val="000000"/>
        </w:rPr>
        <w:t xml:space="preserve">Buch, C. M., </w:t>
      </w:r>
      <w:proofErr w:type="spellStart"/>
      <w:r w:rsidRPr="005457E6">
        <w:rPr>
          <w:color w:val="000000"/>
        </w:rPr>
        <w:t>Bussierè</w:t>
      </w:r>
      <w:proofErr w:type="spellEnd"/>
      <w:r w:rsidRPr="005457E6">
        <w:rPr>
          <w:color w:val="000000"/>
        </w:rPr>
        <w:t>, M., Goldberg, L., &amp;amp; Hills, R. (2019). The international transmission of monetary policy. Journal of International Money and Finance, 91, 29–48. https://doi.org/https://doi.org/10.1016/j.jimonfin.2018.08.005</w:t>
      </w:r>
    </w:p>
    <w:p w14:paraId="40E8BA39" w14:textId="77777777" w:rsidR="00DC1244" w:rsidRDefault="00DC1244" w:rsidP="00DC1244">
      <w:pPr>
        <w:spacing w:line="360" w:lineRule="auto"/>
        <w:ind w:left="720" w:hanging="720"/>
        <w:contextualSpacing/>
        <w:rPr>
          <w:color w:val="000000"/>
        </w:rPr>
      </w:pPr>
      <w:r w:rsidRPr="00F8472C">
        <w:rPr>
          <w:color w:val="000000"/>
        </w:rPr>
        <w:lastRenderedPageBreak/>
        <w:t xml:space="preserve">Draghi, M. (2013). Introductory statement to the press conference (with Q&amp;A). Frankfurt am Main, </w:t>
      </w:r>
      <w:proofErr w:type="gramStart"/>
      <w:r w:rsidRPr="00F8472C">
        <w:rPr>
          <w:color w:val="000000"/>
        </w:rPr>
        <w:t>Germany;</w:t>
      </w:r>
      <w:proofErr w:type="gramEnd"/>
      <w:r w:rsidRPr="00F8472C">
        <w:rPr>
          <w:color w:val="000000"/>
        </w:rPr>
        <w:t xml:space="preserve"> ECB.</w:t>
      </w:r>
      <w:r>
        <w:rPr>
          <w:color w:val="000000"/>
        </w:rPr>
        <w:t xml:space="preserve"> Retrieved from </w:t>
      </w:r>
      <w:hyperlink r:id="rId26" w:history="1">
        <w:r w:rsidRPr="00BA1732">
          <w:rPr>
            <w:color w:val="000000"/>
          </w:rPr>
          <w:t>https://www.rte.ie/documents/news/mario-draghi-conference.pdf</w:t>
        </w:r>
      </w:hyperlink>
    </w:p>
    <w:p w14:paraId="3B3D029C" w14:textId="77777777" w:rsidR="00DC1244" w:rsidRPr="005457E6" w:rsidRDefault="00DC1244" w:rsidP="00DC1244">
      <w:pPr>
        <w:spacing w:line="360" w:lineRule="auto"/>
        <w:ind w:left="720" w:hanging="720"/>
        <w:contextualSpacing/>
        <w:rPr>
          <w:color w:val="000000"/>
        </w:rPr>
      </w:pPr>
      <w:proofErr w:type="spellStart"/>
      <w:r w:rsidRPr="005457E6">
        <w:rPr>
          <w:color w:val="000000"/>
        </w:rPr>
        <w:t>Ca'Zorzi</w:t>
      </w:r>
      <w:proofErr w:type="spellEnd"/>
      <w:r w:rsidRPr="005457E6">
        <w:rPr>
          <w:color w:val="000000"/>
        </w:rPr>
        <w:t xml:space="preserve">, M., </w:t>
      </w:r>
      <w:proofErr w:type="spellStart"/>
      <w:r w:rsidRPr="005457E6">
        <w:rPr>
          <w:color w:val="000000"/>
        </w:rPr>
        <w:t>Dedola</w:t>
      </w:r>
      <w:proofErr w:type="spellEnd"/>
      <w:r w:rsidRPr="005457E6">
        <w:rPr>
          <w:color w:val="000000"/>
        </w:rPr>
        <w:t xml:space="preserve">, L., Georgiadis, G., </w:t>
      </w:r>
      <w:proofErr w:type="spellStart"/>
      <w:r w:rsidRPr="005457E6">
        <w:rPr>
          <w:color w:val="000000"/>
        </w:rPr>
        <w:t>Jarocinski</w:t>
      </w:r>
      <w:proofErr w:type="spellEnd"/>
      <w:r w:rsidRPr="005457E6">
        <w:rPr>
          <w:color w:val="000000"/>
        </w:rPr>
        <w:t xml:space="preserve">, M., </w:t>
      </w:r>
      <w:proofErr w:type="spellStart"/>
      <w:r w:rsidRPr="005457E6">
        <w:rPr>
          <w:color w:val="000000"/>
        </w:rPr>
        <w:t>Stracca</w:t>
      </w:r>
      <w:proofErr w:type="spellEnd"/>
      <w:r w:rsidRPr="005457E6">
        <w:rPr>
          <w:color w:val="000000"/>
        </w:rPr>
        <w:t>, L., &amp; Strasser, G. (2020). Monetary policy and its transmission in a globalized world. Retrieved from https://papers.ssrn.com/sol3/papers.cfm?abstract_id=3599928</w:t>
      </w:r>
    </w:p>
    <w:p w14:paraId="2E99F5B6" w14:textId="77777777" w:rsidR="00DC1244" w:rsidRPr="005457E6" w:rsidRDefault="00DC1244" w:rsidP="00DC1244">
      <w:pPr>
        <w:spacing w:line="360" w:lineRule="auto"/>
        <w:ind w:left="720" w:hanging="720"/>
        <w:contextualSpacing/>
        <w:rPr>
          <w:color w:val="000000"/>
        </w:rPr>
      </w:pPr>
      <w:proofErr w:type="spellStart"/>
      <w:r w:rsidRPr="005457E6">
        <w:rPr>
          <w:color w:val="000000"/>
        </w:rPr>
        <w:t>Cecchetti</w:t>
      </w:r>
      <w:proofErr w:type="spellEnd"/>
      <w:r w:rsidRPr="005457E6">
        <w:rPr>
          <w:color w:val="000000"/>
        </w:rPr>
        <w:t>, S. G. (1999). Legal Structure, Financial Structure, and the Monetary Policy Transmission Mechanism. Retrieved from https://www.nber.org/papers/w7151</w:t>
      </w:r>
    </w:p>
    <w:p w14:paraId="63741531" w14:textId="77777777" w:rsidR="00DC1244" w:rsidRPr="005457E6" w:rsidRDefault="00DC1244" w:rsidP="00DC1244">
      <w:pPr>
        <w:spacing w:line="360" w:lineRule="auto"/>
        <w:ind w:left="720" w:hanging="720"/>
        <w:contextualSpacing/>
        <w:rPr>
          <w:color w:val="000000"/>
        </w:rPr>
      </w:pPr>
      <w:proofErr w:type="spellStart"/>
      <w:r w:rsidRPr="005457E6">
        <w:rPr>
          <w:color w:val="000000"/>
        </w:rPr>
        <w:t>Cecioni</w:t>
      </w:r>
      <w:proofErr w:type="spellEnd"/>
      <w:r w:rsidRPr="005457E6">
        <w:rPr>
          <w:color w:val="000000"/>
        </w:rPr>
        <w:t xml:space="preserve">, M., &amp; </w:t>
      </w:r>
      <w:proofErr w:type="spellStart"/>
      <w:r w:rsidRPr="005457E6">
        <w:rPr>
          <w:color w:val="000000"/>
        </w:rPr>
        <w:t>Neri</w:t>
      </w:r>
      <w:proofErr w:type="spellEnd"/>
      <w:r w:rsidRPr="005457E6">
        <w:rPr>
          <w:color w:val="000000"/>
        </w:rPr>
        <w:t xml:space="preserve">, S. (2010). The monetary transmission in the euro area: has it changed and why. Banca </w:t>
      </w:r>
      <w:proofErr w:type="spellStart"/>
      <w:proofErr w:type="gramStart"/>
      <w:r w:rsidRPr="005457E6">
        <w:rPr>
          <w:color w:val="000000"/>
        </w:rPr>
        <w:t>d’Italia</w:t>
      </w:r>
      <w:proofErr w:type="spellEnd"/>
      <w:r w:rsidRPr="005457E6">
        <w:rPr>
          <w:color w:val="000000"/>
        </w:rPr>
        <w:t>,.</w:t>
      </w:r>
      <w:proofErr w:type="gramEnd"/>
    </w:p>
    <w:p w14:paraId="775DDCFA" w14:textId="77777777" w:rsidR="00DC1244" w:rsidRPr="005457E6" w:rsidRDefault="00DC1244" w:rsidP="00DC1244">
      <w:pPr>
        <w:spacing w:line="360" w:lineRule="auto"/>
        <w:ind w:left="720" w:hanging="720"/>
        <w:contextualSpacing/>
        <w:rPr>
          <w:color w:val="000000"/>
        </w:rPr>
      </w:pPr>
      <w:r w:rsidRPr="005457E6">
        <w:rPr>
          <w:color w:val="000000"/>
        </w:rPr>
        <w:t xml:space="preserve">Chen, H., </w:t>
      </w:r>
      <w:proofErr w:type="spellStart"/>
      <w:r w:rsidRPr="005457E6">
        <w:rPr>
          <w:color w:val="000000"/>
        </w:rPr>
        <w:t>Cúrdia</w:t>
      </w:r>
      <w:proofErr w:type="spellEnd"/>
      <w:r w:rsidRPr="005457E6">
        <w:rPr>
          <w:color w:val="000000"/>
        </w:rPr>
        <w:t>, V., &amp; Ferrero, A. (2012). The macroeconomic effects of large‐scale asset purchase programmes. The economic journal, 122(564), F289-F315. Retrieved from https://academic.oup.com/ej/article-abstract/122/564/F289/5079749?login=false</w:t>
      </w:r>
    </w:p>
    <w:p w14:paraId="66F35D67" w14:textId="77777777" w:rsidR="00DC1244" w:rsidRDefault="00DC1244" w:rsidP="00DC1244">
      <w:pPr>
        <w:spacing w:line="360" w:lineRule="auto"/>
        <w:ind w:left="720" w:hanging="720"/>
        <w:contextualSpacing/>
        <w:rPr>
          <w:color w:val="000000"/>
        </w:rPr>
      </w:pPr>
      <w:proofErr w:type="spellStart"/>
      <w:r w:rsidRPr="005457E6">
        <w:rPr>
          <w:color w:val="000000"/>
        </w:rPr>
        <w:t>Corsetti</w:t>
      </w:r>
      <w:proofErr w:type="spellEnd"/>
      <w:r w:rsidRPr="005457E6">
        <w:rPr>
          <w:color w:val="000000"/>
        </w:rPr>
        <w:t xml:space="preserve">, Giancarlo and Paolo </w:t>
      </w:r>
      <w:proofErr w:type="spellStart"/>
      <w:r w:rsidRPr="005457E6">
        <w:rPr>
          <w:color w:val="000000"/>
        </w:rPr>
        <w:t>Pesenti</w:t>
      </w:r>
      <w:proofErr w:type="spellEnd"/>
      <w:r w:rsidRPr="005457E6">
        <w:rPr>
          <w:color w:val="000000"/>
        </w:rPr>
        <w:t>. 2001. Welfare and Macroeconomic Interdependence. Quarterly Journal of Economics 116: 421–446. Retrieved from https://academic.oup.com/qje/article-abstract/116/2/421/1904165?login=false</w:t>
      </w:r>
    </w:p>
    <w:p w14:paraId="2153188E" w14:textId="77777777" w:rsidR="00DC1244" w:rsidRDefault="00DC1244" w:rsidP="00DC1244">
      <w:pPr>
        <w:spacing w:line="360" w:lineRule="auto"/>
        <w:ind w:left="720" w:hanging="720"/>
        <w:contextualSpacing/>
        <w:rPr>
          <w:color w:val="000000"/>
        </w:rPr>
      </w:pPr>
      <w:r w:rsidRPr="00E16B44">
        <w:rPr>
          <w:color w:val="000000"/>
        </w:rPr>
        <w:t xml:space="preserve">De Polis, A., &amp; </w:t>
      </w:r>
      <w:proofErr w:type="spellStart"/>
      <w:r w:rsidRPr="00E16B44">
        <w:rPr>
          <w:color w:val="000000"/>
        </w:rPr>
        <w:t>Pietrunti</w:t>
      </w:r>
      <w:proofErr w:type="spellEnd"/>
      <w:r w:rsidRPr="00E16B44">
        <w:rPr>
          <w:color w:val="000000"/>
        </w:rPr>
        <w:t xml:space="preserve">, M. (2019). Exchange Rate Dynamics and Unconventional Monetary Policies: It's All in the Shadows. Banca </w:t>
      </w:r>
      <w:proofErr w:type="spellStart"/>
      <w:r w:rsidRPr="00E16B44">
        <w:rPr>
          <w:color w:val="000000"/>
        </w:rPr>
        <w:t>d'Italia</w:t>
      </w:r>
      <w:proofErr w:type="spellEnd"/>
      <w:r w:rsidRPr="00E16B44">
        <w:rPr>
          <w:color w:val="000000"/>
        </w:rPr>
        <w:t xml:space="preserve">. Retrieved from </w:t>
      </w:r>
      <w:hyperlink r:id="rId27" w:history="1">
        <w:r w:rsidRPr="00BA1732">
          <w:rPr>
            <w:color w:val="000000"/>
          </w:rPr>
          <w:t>https://www.bancaditalia.it/pubblicazioni/temi-discussione/2019/2019-1231/en_tema_1231.pdf</w:t>
        </w:r>
      </w:hyperlink>
    </w:p>
    <w:p w14:paraId="0BE1B4CA" w14:textId="3FCDBBED" w:rsidR="00DC1244" w:rsidRPr="005457E6" w:rsidRDefault="00DC1244" w:rsidP="00DC1244">
      <w:pPr>
        <w:spacing w:line="360" w:lineRule="auto"/>
        <w:ind w:left="720" w:hanging="720"/>
        <w:contextualSpacing/>
        <w:rPr>
          <w:color w:val="000000"/>
        </w:rPr>
      </w:pPr>
      <w:proofErr w:type="spellStart"/>
      <w:r w:rsidRPr="005457E6">
        <w:rPr>
          <w:color w:val="000000"/>
        </w:rPr>
        <w:t>Dedola</w:t>
      </w:r>
      <w:proofErr w:type="spellEnd"/>
      <w:r w:rsidRPr="005457E6">
        <w:rPr>
          <w:color w:val="000000"/>
        </w:rPr>
        <w:t>, L., &amp; Lombardo, G. (2012). Financial frictions, financial integration, and the international propagation of shocks. Economic Policy, 27(70), 319-359. Retrieved from https://academic.oup.com/economicpolicy/article-abstract/27/70/319/2918397?login=false</w:t>
      </w:r>
    </w:p>
    <w:p w14:paraId="6CE15B82" w14:textId="06C73AE4" w:rsidR="00DC1244" w:rsidRPr="005457E6" w:rsidRDefault="00DC1244" w:rsidP="00DC1244">
      <w:pPr>
        <w:spacing w:line="360" w:lineRule="auto"/>
        <w:ind w:left="720" w:hanging="720"/>
        <w:contextualSpacing/>
        <w:rPr>
          <w:color w:val="000000"/>
        </w:rPr>
      </w:pPr>
      <w:proofErr w:type="spellStart"/>
      <w:r w:rsidRPr="005457E6">
        <w:rPr>
          <w:color w:val="000000"/>
        </w:rPr>
        <w:t>Dedola</w:t>
      </w:r>
      <w:proofErr w:type="spellEnd"/>
      <w:r w:rsidRPr="005457E6">
        <w:rPr>
          <w:color w:val="000000"/>
        </w:rPr>
        <w:t xml:space="preserve">, L., </w:t>
      </w:r>
      <w:proofErr w:type="spellStart"/>
      <w:r w:rsidRPr="005457E6">
        <w:rPr>
          <w:color w:val="000000"/>
        </w:rPr>
        <w:t>Rivolta</w:t>
      </w:r>
      <w:proofErr w:type="spellEnd"/>
      <w:r w:rsidRPr="005457E6">
        <w:rPr>
          <w:color w:val="000000"/>
        </w:rPr>
        <w:t xml:space="preserve">, G., &amp; </w:t>
      </w:r>
      <w:proofErr w:type="spellStart"/>
      <w:r w:rsidRPr="005457E6">
        <w:rPr>
          <w:color w:val="000000"/>
        </w:rPr>
        <w:t>Stracca</w:t>
      </w:r>
      <w:proofErr w:type="spellEnd"/>
      <w:r w:rsidRPr="005457E6">
        <w:rPr>
          <w:color w:val="000000"/>
        </w:rPr>
        <w:t>, L. (2015). If the Fed sneezes, who gets a cold? Unpublished manuscript. Retrieved from https://www.empiricalmacroworkshop.ugent.be/wp-content/uploads/2015/05/WEM2015_02_Dedola.pdf</w:t>
      </w:r>
    </w:p>
    <w:p w14:paraId="1C8077ED" w14:textId="77777777" w:rsidR="00DC1244" w:rsidRPr="005457E6" w:rsidRDefault="00DC1244" w:rsidP="00DC1244">
      <w:pPr>
        <w:spacing w:line="360" w:lineRule="auto"/>
        <w:ind w:left="720" w:hanging="720"/>
        <w:contextualSpacing/>
        <w:rPr>
          <w:color w:val="000000"/>
        </w:rPr>
      </w:pPr>
      <w:r w:rsidRPr="005457E6">
        <w:rPr>
          <w:color w:val="000000"/>
        </w:rPr>
        <w:t xml:space="preserve">Dornbusch, </w:t>
      </w:r>
      <w:proofErr w:type="spellStart"/>
      <w:r w:rsidRPr="005457E6">
        <w:rPr>
          <w:color w:val="000000"/>
        </w:rPr>
        <w:t>Rudiger</w:t>
      </w:r>
      <w:proofErr w:type="spellEnd"/>
      <w:r w:rsidRPr="005457E6">
        <w:rPr>
          <w:color w:val="000000"/>
        </w:rPr>
        <w:t>. (1976). Expectations and Exchange Rate Dynamics. Journal of Political Economy 84(6): 1161–1176. Retrieved from https://www.journals.uchicago.edu/doi/abs/10.1086/260506</w:t>
      </w:r>
    </w:p>
    <w:p w14:paraId="07856F94" w14:textId="77777777" w:rsidR="00DC1244" w:rsidRPr="00F8472C" w:rsidRDefault="00DC1244" w:rsidP="00DC1244">
      <w:pPr>
        <w:spacing w:line="360" w:lineRule="auto"/>
        <w:ind w:left="720" w:hanging="720"/>
        <w:contextualSpacing/>
        <w:rPr>
          <w:color w:val="000000"/>
        </w:rPr>
      </w:pPr>
      <w:r w:rsidRPr="005457E6">
        <w:rPr>
          <w:color w:val="000000"/>
        </w:rPr>
        <w:t>European Union. (n.d.). Retrieved April 2, 2022, from https://european-union.europa.eu/index_en</w:t>
      </w:r>
    </w:p>
    <w:p w14:paraId="25164840" w14:textId="77777777" w:rsidR="00DC1244" w:rsidRPr="00F8472C" w:rsidRDefault="00DC1244" w:rsidP="00DC1244">
      <w:pPr>
        <w:spacing w:line="360" w:lineRule="auto"/>
        <w:ind w:left="720" w:hanging="720"/>
        <w:contextualSpacing/>
        <w:rPr>
          <w:color w:val="000000"/>
        </w:rPr>
      </w:pPr>
      <w:r w:rsidRPr="00F8472C">
        <w:rPr>
          <w:color w:val="000000"/>
        </w:rPr>
        <w:lastRenderedPageBreak/>
        <w:t xml:space="preserve">European Central Bank. (2021, March 30). What are targeted longer-term refinancing operations (TLTROs)? European Central Bank. Retrieved from https://www.ecb.europa.eu/explainers/tell-me/html/tltro.en.html. </w:t>
      </w:r>
    </w:p>
    <w:p w14:paraId="62DE7DAA" w14:textId="77777777" w:rsidR="00DC1244" w:rsidRPr="00F8472C" w:rsidRDefault="00DC1244" w:rsidP="00DC1244">
      <w:pPr>
        <w:spacing w:line="360" w:lineRule="auto"/>
        <w:ind w:left="720" w:hanging="720"/>
        <w:contextualSpacing/>
        <w:rPr>
          <w:color w:val="000000"/>
        </w:rPr>
      </w:pPr>
      <w:r w:rsidRPr="00F8472C">
        <w:rPr>
          <w:color w:val="000000"/>
        </w:rPr>
        <w:t xml:space="preserve">European Central Bank. (n.d.). Asset purchase programmes. European Central Bank. Retrieved from https://www.ecb.europa.eu/mopo/implement/app/html/index.en.html. </w:t>
      </w:r>
    </w:p>
    <w:p w14:paraId="0C87C85D" w14:textId="77777777" w:rsidR="00DC1244" w:rsidRPr="00F8472C" w:rsidRDefault="00DC1244" w:rsidP="00DC1244">
      <w:pPr>
        <w:spacing w:line="360" w:lineRule="auto"/>
        <w:ind w:left="720" w:hanging="720"/>
        <w:contextualSpacing/>
        <w:rPr>
          <w:color w:val="000000"/>
        </w:rPr>
      </w:pPr>
      <w:r w:rsidRPr="00F8472C">
        <w:rPr>
          <w:color w:val="000000"/>
        </w:rPr>
        <w:t xml:space="preserve">European Central Bank. (n.d.). Pandemic emergency purchase programme. European Central Bank. Retrieved from https://www.ecb.europa.eu/mopo/implement/pepp/html/index.en.html. </w:t>
      </w:r>
    </w:p>
    <w:p w14:paraId="501E56F3" w14:textId="77777777" w:rsidR="00DC1244" w:rsidRDefault="00DC1244" w:rsidP="00DC1244">
      <w:pPr>
        <w:spacing w:line="360" w:lineRule="auto"/>
        <w:ind w:left="720" w:hanging="720"/>
        <w:contextualSpacing/>
        <w:rPr>
          <w:color w:val="000000"/>
        </w:rPr>
      </w:pPr>
      <w:proofErr w:type="spellStart"/>
      <w:r w:rsidRPr="00F8472C">
        <w:rPr>
          <w:color w:val="000000"/>
        </w:rPr>
        <w:t>Falagiarda</w:t>
      </w:r>
      <w:proofErr w:type="spellEnd"/>
      <w:r w:rsidRPr="00F8472C">
        <w:rPr>
          <w:color w:val="000000"/>
        </w:rPr>
        <w:t xml:space="preserve">, M., McQuade, P. &amp; </w:t>
      </w:r>
      <w:proofErr w:type="spellStart"/>
      <w:r w:rsidRPr="00F8472C">
        <w:rPr>
          <w:color w:val="000000"/>
        </w:rPr>
        <w:t>Tirpák</w:t>
      </w:r>
      <w:proofErr w:type="spellEnd"/>
      <w:r w:rsidRPr="00F8472C">
        <w:rPr>
          <w:color w:val="000000"/>
        </w:rPr>
        <w:t>, M.</w:t>
      </w:r>
      <w:r>
        <w:rPr>
          <w:color w:val="000000"/>
        </w:rPr>
        <w:t xml:space="preserve"> (</w:t>
      </w:r>
      <w:r w:rsidRPr="00F8472C">
        <w:rPr>
          <w:color w:val="000000"/>
        </w:rPr>
        <w:t>2015</w:t>
      </w:r>
      <w:r>
        <w:rPr>
          <w:color w:val="000000"/>
        </w:rPr>
        <w:t>)</w:t>
      </w:r>
      <w:r w:rsidRPr="00F8472C">
        <w:rPr>
          <w:color w:val="000000"/>
        </w:rPr>
        <w:t xml:space="preserve">. </w:t>
      </w:r>
      <w:proofErr w:type="spellStart"/>
      <w:r w:rsidRPr="00F8472C">
        <w:rPr>
          <w:color w:val="000000"/>
        </w:rPr>
        <w:t>Spillovers</w:t>
      </w:r>
      <w:proofErr w:type="spellEnd"/>
      <w:r w:rsidRPr="00F8472C">
        <w:rPr>
          <w:color w:val="000000"/>
        </w:rPr>
        <w:t xml:space="preserve"> from the ECB's non-standard monetary policies on non-euro area EU countries: evidence from an event-study analysis. Working Paper Series 1869, European Central Bank.</w:t>
      </w:r>
    </w:p>
    <w:p w14:paraId="36FA86D6" w14:textId="77777777" w:rsidR="00DC1244" w:rsidRPr="00F8472C" w:rsidRDefault="00DC1244" w:rsidP="00DC1244">
      <w:pPr>
        <w:spacing w:line="360" w:lineRule="auto"/>
        <w:ind w:left="720" w:hanging="720"/>
        <w:contextualSpacing/>
        <w:rPr>
          <w:color w:val="000000"/>
        </w:rPr>
      </w:pPr>
      <w:proofErr w:type="spellStart"/>
      <w:r w:rsidRPr="00E16B44">
        <w:rPr>
          <w:color w:val="000000"/>
        </w:rPr>
        <w:t>Fratzscher</w:t>
      </w:r>
      <w:proofErr w:type="spellEnd"/>
      <w:r w:rsidRPr="00E16B44">
        <w:rPr>
          <w:color w:val="000000"/>
        </w:rPr>
        <w:t xml:space="preserve">, M., Lo </w:t>
      </w:r>
      <w:proofErr w:type="spellStart"/>
      <w:r w:rsidRPr="00E16B44">
        <w:rPr>
          <w:color w:val="000000"/>
        </w:rPr>
        <w:t>Duca</w:t>
      </w:r>
      <w:proofErr w:type="spellEnd"/>
      <w:r w:rsidRPr="00E16B44">
        <w:rPr>
          <w:color w:val="000000"/>
        </w:rPr>
        <w:t xml:space="preserve">, M., &amp; Straub, R. (2018). On the international </w:t>
      </w:r>
      <w:proofErr w:type="spellStart"/>
      <w:r w:rsidRPr="00E16B44">
        <w:rPr>
          <w:color w:val="000000"/>
        </w:rPr>
        <w:t>spillovers</w:t>
      </w:r>
      <w:proofErr w:type="spellEnd"/>
      <w:r w:rsidRPr="00E16B44">
        <w:rPr>
          <w:color w:val="000000"/>
        </w:rPr>
        <w:t xml:space="preserve"> of US quantitative easing. The Economic Journal, 128(608), 330-377. </w:t>
      </w:r>
    </w:p>
    <w:p w14:paraId="4413A26C" w14:textId="77777777" w:rsidR="00DC1244" w:rsidRDefault="00DC1244" w:rsidP="00DC1244">
      <w:pPr>
        <w:spacing w:line="360" w:lineRule="auto"/>
        <w:ind w:left="720" w:hanging="720"/>
        <w:contextualSpacing/>
        <w:rPr>
          <w:color w:val="000000"/>
        </w:rPr>
      </w:pPr>
      <w:proofErr w:type="spellStart"/>
      <w:r w:rsidRPr="00903BC1">
        <w:rPr>
          <w:color w:val="000000"/>
        </w:rPr>
        <w:t>Gambetti</w:t>
      </w:r>
      <w:proofErr w:type="spellEnd"/>
      <w:r w:rsidRPr="00903BC1">
        <w:rPr>
          <w:color w:val="000000"/>
        </w:rPr>
        <w:t xml:space="preserve">, L., &amp; </w:t>
      </w:r>
      <w:proofErr w:type="spellStart"/>
      <w:r w:rsidRPr="00903BC1">
        <w:rPr>
          <w:color w:val="000000"/>
        </w:rPr>
        <w:t>Musso</w:t>
      </w:r>
      <w:proofErr w:type="spellEnd"/>
      <w:r w:rsidRPr="00903BC1">
        <w:rPr>
          <w:color w:val="000000"/>
        </w:rPr>
        <w:t xml:space="preserve">, A. (2017). The macroeconomic impact of the ECB's expanded asset purchase programme (APP). Retrieved from </w:t>
      </w:r>
      <w:hyperlink r:id="rId28" w:history="1">
        <w:r w:rsidRPr="00BA1732">
          <w:rPr>
            <w:color w:val="000000"/>
          </w:rPr>
          <w:t>https://papers.ssrn.com/sol3/papers.cfm?abstract_id=2985385</w:t>
        </w:r>
      </w:hyperlink>
    </w:p>
    <w:p w14:paraId="404AEB8A" w14:textId="77777777" w:rsidR="00DC1244" w:rsidRDefault="00DC1244" w:rsidP="00DC1244">
      <w:pPr>
        <w:spacing w:line="360" w:lineRule="auto"/>
        <w:ind w:left="720" w:hanging="720"/>
        <w:contextualSpacing/>
        <w:rPr>
          <w:color w:val="000000"/>
        </w:rPr>
      </w:pPr>
      <w:r w:rsidRPr="00BA1732">
        <w:rPr>
          <w:color w:val="000000"/>
        </w:rPr>
        <w:t>Global Economic Data, indicators, charts &amp;amp; forecasts. CEIC. (2022, March 30). Retrieved April 2, 2022, from https://www.ceicdata.com/en</w:t>
      </w:r>
    </w:p>
    <w:p w14:paraId="153AF2F7" w14:textId="77777777" w:rsidR="00DC1244" w:rsidRPr="00903BC1" w:rsidRDefault="00DC1244" w:rsidP="00DC1244">
      <w:pPr>
        <w:spacing w:line="360" w:lineRule="auto"/>
        <w:ind w:left="720" w:hanging="720"/>
        <w:contextualSpacing/>
        <w:rPr>
          <w:color w:val="000000"/>
        </w:rPr>
      </w:pPr>
      <w:proofErr w:type="spellStart"/>
      <w:r w:rsidRPr="005457E6">
        <w:rPr>
          <w:color w:val="000000"/>
        </w:rPr>
        <w:t>Gali</w:t>
      </w:r>
      <w:proofErr w:type="spellEnd"/>
      <w:r w:rsidRPr="005457E6">
        <w:rPr>
          <w:color w:val="000000"/>
        </w:rPr>
        <w:t xml:space="preserve">, J., &amp; </w:t>
      </w:r>
      <w:proofErr w:type="spellStart"/>
      <w:r w:rsidRPr="005457E6">
        <w:rPr>
          <w:color w:val="000000"/>
        </w:rPr>
        <w:t>Monacelli</w:t>
      </w:r>
      <w:proofErr w:type="spellEnd"/>
      <w:r w:rsidRPr="005457E6">
        <w:rPr>
          <w:color w:val="000000"/>
        </w:rPr>
        <w:t>, T. (2005). Monetary policy and exchange rate volatility in a small open economy. The Review of Economic Studies, 72(3), 707-734. Retrieved from https://academic.oup.com/restud/article-abstract/72/3/707/1553469?login=false</w:t>
      </w:r>
    </w:p>
    <w:p w14:paraId="11879B71" w14:textId="77777777" w:rsidR="00DC1244" w:rsidRPr="00903BC1" w:rsidRDefault="00DC1244" w:rsidP="00DC1244">
      <w:pPr>
        <w:spacing w:line="360" w:lineRule="auto"/>
        <w:ind w:left="720" w:hanging="720"/>
        <w:contextualSpacing/>
        <w:rPr>
          <w:color w:val="000000"/>
        </w:rPr>
      </w:pPr>
      <w:r w:rsidRPr="00903BC1">
        <w:rPr>
          <w:color w:val="000000"/>
        </w:rPr>
        <w:t xml:space="preserve">Georgiadis, G., &amp; </w:t>
      </w:r>
      <w:proofErr w:type="spellStart"/>
      <w:r w:rsidRPr="00903BC1">
        <w:rPr>
          <w:color w:val="000000"/>
        </w:rPr>
        <w:t>Gräb</w:t>
      </w:r>
      <w:proofErr w:type="spellEnd"/>
      <w:r w:rsidRPr="00903BC1">
        <w:rPr>
          <w:color w:val="000000"/>
        </w:rPr>
        <w:t>, J. (2016). Global financial market impact of the announcement of the ECB's asset purchase programme. Journal of Financial Stability, 26, 257-265 Retrieved from https://www.sciencedirect.com/science/article/pii/S1572308916300626?casa_token=Dfm52lzgCnIAAAAA:Jm410Y46Z3xvKTPoLozSMfB1hyM9kJc4UFizVW3dLPbtlWyFWYNzWa1uXkx9lXvY75IzGC8d7Sg</w:t>
      </w:r>
    </w:p>
    <w:p w14:paraId="1A62E9E3" w14:textId="77777777" w:rsidR="00DC1244" w:rsidRPr="00903BC1" w:rsidRDefault="00DC1244" w:rsidP="00DC1244">
      <w:pPr>
        <w:spacing w:line="360" w:lineRule="auto"/>
        <w:ind w:left="720" w:hanging="720"/>
        <w:contextualSpacing/>
        <w:rPr>
          <w:color w:val="000000"/>
        </w:rPr>
      </w:pPr>
      <w:proofErr w:type="spellStart"/>
      <w:r w:rsidRPr="00903BC1">
        <w:rPr>
          <w:color w:val="000000"/>
        </w:rPr>
        <w:t>Gürkaynak</w:t>
      </w:r>
      <w:proofErr w:type="spellEnd"/>
      <w:r w:rsidRPr="00903BC1">
        <w:rPr>
          <w:color w:val="000000"/>
        </w:rPr>
        <w:t>, R. S., Sack, B. P., &amp; Swanson, E. T. (2004). Do actions speak louder than words? The response of asset prices to monetary policy actions and statements. The Response of Asset Prices to Monetary Policy Actions and Statements (November 2004). Retrieved from https://papers.ssrn.com/sol3/papers.cfm?abstract_id=633281</w:t>
      </w:r>
    </w:p>
    <w:p w14:paraId="5FB366E8" w14:textId="77777777" w:rsidR="00DC1244" w:rsidRPr="00903BC1" w:rsidRDefault="00DC1244" w:rsidP="00DC1244">
      <w:pPr>
        <w:spacing w:line="360" w:lineRule="auto"/>
        <w:ind w:left="720" w:hanging="720"/>
        <w:contextualSpacing/>
        <w:rPr>
          <w:color w:val="000000"/>
        </w:rPr>
      </w:pPr>
      <w:proofErr w:type="spellStart"/>
      <w:r w:rsidRPr="00903BC1">
        <w:rPr>
          <w:color w:val="000000"/>
        </w:rPr>
        <w:lastRenderedPageBreak/>
        <w:t>Gürkaynak</w:t>
      </w:r>
      <w:proofErr w:type="spellEnd"/>
      <w:r w:rsidRPr="00903BC1">
        <w:rPr>
          <w:color w:val="000000"/>
        </w:rPr>
        <w:t>, R. S. (2005). Using federal funds futures contracts for monetary policy analysis. Retrieved from https://papers.ssrn.com/sol3/papers.cfm?abstract_id=813225</w:t>
      </w:r>
    </w:p>
    <w:p w14:paraId="007FAA07" w14:textId="77777777" w:rsidR="00DC1244" w:rsidRPr="00F8472C" w:rsidRDefault="00DC1244" w:rsidP="00DC1244">
      <w:pPr>
        <w:spacing w:line="360" w:lineRule="auto"/>
        <w:ind w:left="720" w:hanging="720"/>
        <w:contextualSpacing/>
        <w:rPr>
          <w:color w:val="000000"/>
        </w:rPr>
      </w:pPr>
      <w:proofErr w:type="spellStart"/>
      <w:r w:rsidRPr="00F8472C">
        <w:rPr>
          <w:color w:val="000000"/>
        </w:rPr>
        <w:t>Haberis</w:t>
      </w:r>
      <w:proofErr w:type="spellEnd"/>
      <w:r w:rsidRPr="00F8472C">
        <w:rPr>
          <w:color w:val="000000"/>
        </w:rPr>
        <w:t>, A., Harrison, R., &amp; Waldron, M. (2017, September 21). The forward guidance paradox. VOX, CEPR Policy Portal. Retrieved</w:t>
      </w:r>
      <w:r>
        <w:rPr>
          <w:color w:val="000000"/>
        </w:rPr>
        <w:t xml:space="preserve"> </w:t>
      </w:r>
      <w:r w:rsidRPr="00F8472C">
        <w:rPr>
          <w:color w:val="000000"/>
        </w:rPr>
        <w:t xml:space="preserve">from </w:t>
      </w:r>
      <w:hyperlink r:id="rId29" w:history="1">
        <w:r w:rsidRPr="00F8472C">
          <w:rPr>
            <w:color w:val="000000"/>
          </w:rPr>
          <w:t>https://voxeu.org/article/forward-guidance-paradox</w:t>
        </w:r>
      </w:hyperlink>
      <w:r w:rsidRPr="00F8472C">
        <w:rPr>
          <w:color w:val="000000"/>
        </w:rPr>
        <w:t xml:space="preserve">. </w:t>
      </w:r>
    </w:p>
    <w:p w14:paraId="3CAA768E" w14:textId="77777777" w:rsidR="00DC1244" w:rsidRPr="00903BC1" w:rsidRDefault="00DC1244" w:rsidP="00DC1244">
      <w:pPr>
        <w:spacing w:line="360" w:lineRule="auto"/>
        <w:ind w:left="720" w:hanging="720"/>
        <w:contextualSpacing/>
        <w:rPr>
          <w:color w:val="000000"/>
        </w:rPr>
      </w:pPr>
      <w:r w:rsidRPr="00903BC1">
        <w:rPr>
          <w:color w:val="000000"/>
        </w:rPr>
        <w:t xml:space="preserve">Heider, F., </w:t>
      </w:r>
      <w:proofErr w:type="spellStart"/>
      <w:r w:rsidRPr="00903BC1">
        <w:rPr>
          <w:color w:val="000000"/>
        </w:rPr>
        <w:t>Saidi</w:t>
      </w:r>
      <w:proofErr w:type="spellEnd"/>
      <w:r w:rsidRPr="00903BC1">
        <w:rPr>
          <w:color w:val="000000"/>
        </w:rPr>
        <w:t>, F., &amp; Schepens, G. (2019). Life below zero: Bank lending under negative policy rates. The Review of Financial Studies, 32(10), 3728-3761. Retrieved from https://academic.oup.com/rfs/article/32/10/3728/5307779?login=false</w:t>
      </w:r>
    </w:p>
    <w:p w14:paraId="7292FF46" w14:textId="77777777" w:rsidR="00DC1244" w:rsidRDefault="00DC1244" w:rsidP="00DC1244">
      <w:pPr>
        <w:spacing w:line="360" w:lineRule="auto"/>
        <w:ind w:left="720" w:hanging="720"/>
        <w:contextualSpacing/>
        <w:rPr>
          <w:color w:val="000000"/>
        </w:rPr>
      </w:pPr>
      <w:r w:rsidRPr="00903BC1">
        <w:rPr>
          <w:color w:val="000000"/>
        </w:rPr>
        <w:t xml:space="preserve">Hubert, P., &amp; </w:t>
      </w:r>
      <w:proofErr w:type="spellStart"/>
      <w:r w:rsidRPr="00903BC1">
        <w:rPr>
          <w:color w:val="000000"/>
        </w:rPr>
        <w:t>Labondance</w:t>
      </w:r>
      <w:proofErr w:type="spellEnd"/>
      <w:r w:rsidRPr="00903BC1">
        <w:rPr>
          <w:color w:val="000000"/>
        </w:rPr>
        <w:t xml:space="preserve">, F. (2018). The effect of ECB forward guidance on the term structure of interest rates. 56th issue (December 2018) of the International Journal of Central Banking. Retrieved from </w:t>
      </w:r>
      <w:hyperlink r:id="rId30" w:history="1">
        <w:r w:rsidRPr="00BA1732">
          <w:rPr>
            <w:color w:val="000000"/>
          </w:rPr>
          <w:t>https://www.ijcb.org/journal/ijcb18q4a5.html</w:t>
        </w:r>
      </w:hyperlink>
    </w:p>
    <w:p w14:paraId="0C5815FF" w14:textId="77777777" w:rsidR="00DC1244" w:rsidRDefault="00DC1244" w:rsidP="00DC1244">
      <w:pPr>
        <w:spacing w:line="360" w:lineRule="auto"/>
        <w:ind w:left="720" w:hanging="720"/>
        <w:contextualSpacing/>
        <w:rPr>
          <w:color w:val="000000"/>
        </w:rPr>
      </w:pPr>
      <w:proofErr w:type="spellStart"/>
      <w:r w:rsidRPr="00903BC1">
        <w:rPr>
          <w:color w:val="000000"/>
        </w:rPr>
        <w:t>Horváth</w:t>
      </w:r>
      <w:proofErr w:type="spellEnd"/>
      <w:r w:rsidRPr="00903BC1">
        <w:rPr>
          <w:color w:val="000000"/>
        </w:rPr>
        <w:t xml:space="preserve">, R., &amp; </w:t>
      </w:r>
      <w:proofErr w:type="spellStart"/>
      <w:r w:rsidRPr="00903BC1">
        <w:rPr>
          <w:color w:val="000000"/>
        </w:rPr>
        <w:t>Voslarova</w:t>
      </w:r>
      <w:proofErr w:type="spellEnd"/>
      <w:r w:rsidRPr="00903BC1">
        <w:rPr>
          <w:color w:val="000000"/>
        </w:rPr>
        <w:t xml:space="preserve">, K. (2017). International </w:t>
      </w:r>
      <w:proofErr w:type="spellStart"/>
      <w:r w:rsidRPr="00903BC1">
        <w:rPr>
          <w:color w:val="000000"/>
        </w:rPr>
        <w:t>spillovers</w:t>
      </w:r>
      <w:proofErr w:type="spellEnd"/>
      <w:r w:rsidRPr="00903BC1">
        <w:rPr>
          <w:color w:val="000000"/>
        </w:rPr>
        <w:t xml:space="preserve"> of ECB’s unconventional monetary policy: the effect on Central Europe. Applied Economics, 49(24), 2352-2364.</w:t>
      </w:r>
      <w:r w:rsidRPr="00F8472C">
        <w:rPr>
          <w:color w:val="000000"/>
        </w:rPr>
        <w:t xml:space="preserve"> </w:t>
      </w:r>
      <w:r>
        <w:rPr>
          <w:color w:val="000000"/>
        </w:rPr>
        <w:t xml:space="preserve">Retrieved from </w:t>
      </w:r>
      <w:r w:rsidRPr="00A7171A">
        <w:rPr>
          <w:color w:val="000000"/>
        </w:rPr>
        <w:t>https://www.tandfonline.com/doi/abs/10.1080/00036846.2016.1237764</w:t>
      </w:r>
    </w:p>
    <w:p w14:paraId="2A508AF7" w14:textId="77777777" w:rsidR="00DC1244" w:rsidRDefault="00DC1244" w:rsidP="00DC1244">
      <w:pPr>
        <w:spacing w:line="360" w:lineRule="auto"/>
        <w:ind w:left="720" w:hanging="720"/>
        <w:contextualSpacing/>
        <w:rPr>
          <w:color w:val="000000"/>
        </w:rPr>
      </w:pPr>
    </w:p>
    <w:p w14:paraId="6EEFE977" w14:textId="77777777" w:rsidR="00DC1244" w:rsidRDefault="00DC1244" w:rsidP="00DC1244">
      <w:pPr>
        <w:spacing w:line="360" w:lineRule="auto"/>
        <w:ind w:left="720" w:hanging="720"/>
        <w:contextualSpacing/>
        <w:rPr>
          <w:color w:val="000000"/>
        </w:rPr>
      </w:pPr>
      <w:proofErr w:type="spellStart"/>
      <w:r w:rsidRPr="00BA1732">
        <w:rPr>
          <w:color w:val="000000"/>
        </w:rPr>
        <w:t>Issing</w:t>
      </w:r>
      <w:proofErr w:type="spellEnd"/>
      <w:r w:rsidRPr="00BA1732">
        <w:rPr>
          <w:color w:val="000000"/>
        </w:rPr>
        <w:t xml:space="preserve">, O. (2000). The globalisation of financial markets (Vol. 12). September. Retrieved from </w:t>
      </w:r>
      <w:hyperlink r:id="rId31" w:history="1">
        <w:r w:rsidRPr="00BA1732">
          <w:rPr>
            <w:color w:val="000000"/>
          </w:rPr>
          <w:t>https://www.ecb.europa.eu/press/key/date/2000/html/sp000912_2.en.html</w:t>
        </w:r>
      </w:hyperlink>
    </w:p>
    <w:p w14:paraId="04DC5BDE" w14:textId="77777777" w:rsidR="00DC1244" w:rsidRPr="00F8472C" w:rsidRDefault="00DC1244" w:rsidP="00DC1244">
      <w:pPr>
        <w:spacing w:line="360" w:lineRule="auto"/>
        <w:ind w:left="720" w:hanging="720"/>
        <w:contextualSpacing/>
        <w:rPr>
          <w:color w:val="000000"/>
        </w:rPr>
      </w:pPr>
      <w:r w:rsidRPr="00BA1732">
        <w:rPr>
          <w:color w:val="000000"/>
        </w:rPr>
        <w:t>Jiménez-Rodriguez, R., Morales-</w:t>
      </w:r>
      <w:proofErr w:type="spellStart"/>
      <w:r w:rsidRPr="00BA1732">
        <w:rPr>
          <w:color w:val="000000"/>
        </w:rPr>
        <w:t>Zumaquero</w:t>
      </w:r>
      <w:proofErr w:type="spellEnd"/>
      <w:r w:rsidRPr="00BA1732">
        <w:rPr>
          <w:color w:val="000000"/>
        </w:rPr>
        <w:t xml:space="preserve">, A., &amp; </w:t>
      </w:r>
      <w:proofErr w:type="spellStart"/>
      <w:r w:rsidRPr="00BA1732">
        <w:rPr>
          <w:color w:val="000000"/>
        </w:rPr>
        <w:t>Égert</w:t>
      </w:r>
      <w:proofErr w:type="spellEnd"/>
      <w:r w:rsidRPr="00BA1732">
        <w:rPr>
          <w:color w:val="000000"/>
        </w:rPr>
        <w:t xml:space="preserve">, B. (2010). The effect of foreign shocks in Central and Eastern Europe. Journal of Policy </w:t>
      </w:r>
      <w:proofErr w:type="spellStart"/>
      <w:r w:rsidRPr="00BA1732">
        <w:rPr>
          <w:color w:val="000000"/>
        </w:rPr>
        <w:t>Modeling</w:t>
      </w:r>
      <w:proofErr w:type="spellEnd"/>
      <w:r w:rsidRPr="00BA1732">
        <w:rPr>
          <w:color w:val="000000"/>
        </w:rPr>
        <w:t>, 32(4), 461-477.</w:t>
      </w:r>
    </w:p>
    <w:p w14:paraId="14BCFAD7" w14:textId="77777777" w:rsidR="00DC1244" w:rsidRDefault="00DC1244" w:rsidP="00DC1244">
      <w:pPr>
        <w:spacing w:line="360" w:lineRule="auto"/>
        <w:ind w:left="720" w:hanging="720"/>
        <w:contextualSpacing/>
        <w:rPr>
          <w:color w:val="000000"/>
        </w:rPr>
      </w:pPr>
      <w:proofErr w:type="spellStart"/>
      <w:r w:rsidRPr="00903BC1">
        <w:rPr>
          <w:color w:val="000000"/>
        </w:rPr>
        <w:t>Moder</w:t>
      </w:r>
      <w:proofErr w:type="spellEnd"/>
      <w:r w:rsidRPr="00903BC1">
        <w:rPr>
          <w:color w:val="000000"/>
        </w:rPr>
        <w:t xml:space="preserve">, I. (2017). </w:t>
      </w:r>
      <w:proofErr w:type="spellStart"/>
      <w:r w:rsidRPr="00903BC1">
        <w:rPr>
          <w:color w:val="000000"/>
        </w:rPr>
        <w:t>Spillovers</w:t>
      </w:r>
      <w:proofErr w:type="spellEnd"/>
      <w:r w:rsidRPr="00903BC1">
        <w:rPr>
          <w:color w:val="000000"/>
        </w:rPr>
        <w:t xml:space="preserve"> from the ECB's non-standard monetary policy measures on south-eastern Europe. Retrieved from </w:t>
      </w:r>
      <w:hyperlink r:id="rId32" w:history="1">
        <w:r w:rsidRPr="00BA1732">
          <w:rPr>
            <w:color w:val="000000"/>
          </w:rPr>
          <w:t>https://papers.ssrn.com/sol3/papers.cfm?abstract_id=3025245</w:t>
        </w:r>
      </w:hyperlink>
    </w:p>
    <w:p w14:paraId="30EFBD82" w14:textId="77777777" w:rsidR="00DC1244" w:rsidRDefault="00DC1244" w:rsidP="00DC1244">
      <w:pPr>
        <w:spacing w:line="360" w:lineRule="auto"/>
        <w:ind w:left="720" w:hanging="720"/>
        <w:contextualSpacing/>
        <w:rPr>
          <w:color w:val="000000"/>
        </w:rPr>
      </w:pPr>
      <w:r w:rsidRPr="00E16B44">
        <w:rPr>
          <w:color w:val="000000"/>
        </w:rPr>
        <w:t xml:space="preserve">Karadi, P., &amp; </w:t>
      </w:r>
      <w:proofErr w:type="spellStart"/>
      <w:r w:rsidRPr="00E16B44">
        <w:rPr>
          <w:color w:val="000000"/>
        </w:rPr>
        <w:t>Nakov</w:t>
      </w:r>
      <w:proofErr w:type="spellEnd"/>
      <w:r w:rsidRPr="00E16B44">
        <w:rPr>
          <w:color w:val="000000"/>
        </w:rPr>
        <w:t>, A. (2021). Effectiveness and addictiveness of quantitative easing. Journal of Monetary Economics, 117, 1096-1117. Retrieved from https://www.sciencedirect.com/science/article/pii/S0304393220301070?casa_token=0D4QrYZht5EAAAAA:QvZmM4UxySky-XlDu7AxBFuwqsTUgwz0QzEpywOxhg3SCqYm2SJgR5ctGVKXKQ5q0fYYX6v9GAk</w:t>
      </w:r>
    </w:p>
    <w:p w14:paraId="7845EEED" w14:textId="77777777" w:rsidR="00DC1244" w:rsidRPr="00E16B44" w:rsidRDefault="00DC1244" w:rsidP="00DC1244">
      <w:pPr>
        <w:spacing w:line="360" w:lineRule="auto"/>
        <w:ind w:left="720" w:hanging="720"/>
        <w:contextualSpacing/>
        <w:rPr>
          <w:color w:val="000000"/>
        </w:rPr>
      </w:pPr>
      <w:proofErr w:type="spellStart"/>
      <w:r w:rsidRPr="00E16B44">
        <w:rPr>
          <w:color w:val="000000"/>
        </w:rPr>
        <w:lastRenderedPageBreak/>
        <w:t>Kenourgios</w:t>
      </w:r>
      <w:proofErr w:type="spellEnd"/>
      <w:r w:rsidRPr="00E16B44">
        <w:rPr>
          <w:color w:val="000000"/>
        </w:rPr>
        <w:t xml:space="preserve">, D., </w:t>
      </w:r>
      <w:proofErr w:type="spellStart"/>
      <w:r w:rsidRPr="00E16B44">
        <w:rPr>
          <w:color w:val="000000"/>
        </w:rPr>
        <w:t>Drakonaki</w:t>
      </w:r>
      <w:proofErr w:type="spellEnd"/>
      <w:r w:rsidRPr="00E16B44">
        <w:rPr>
          <w:color w:val="000000"/>
        </w:rPr>
        <w:t xml:space="preserve">, E., &amp; </w:t>
      </w:r>
      <w:proofErr w:type="spellStart"/>
      <w:r w:rsidRPr="00E16B44">
        <w:rPr>
          <w:color w:val="000000"/>
        </w:rPr>
        <w:t>Dimitriou</w:t>
      </w:r>
      <w:proofErr w:type="spellEnd"/>
      <w:r w:rsidRPr="00E16B44">
        <w:rPr>
          <w:color w:val="000000"/>
        </w:rPr>
        <w:t xml:space="preserve">, D. (2019). ECB’s unconventional monetary policy and cross-financial-market correlation dynamics. The North American Journal of Economics and Finance, 50, 101045. Retrieved from </w:t>
      </w:r>
      <w:hyperlink r:id="rId33" w:history="1">
        <w:r w:rsidRPr="00E16B44">
          <w:rPr>
            <w:color w:val="000000"/>
          </w:rPr>
          <w:t>https://www.sciencedirect.com/science/article/pii/S1062940818304856?casa_token=Y7t1KYyyzS4AAAAA:r-q0y7EREEewE4nQPho0_9u0lMxAbk_rDNoztYdYqDpGg1OutyVrR8BntDDIrVknx6jIY-XdYEg</w:t>
        </w:r>
      </w:hyperlink>
    </w:p>
    <w:p w14:paraId="2DEBFDF9" w14:textId="77777777" w:rsidR="00DC1244" w:rsidRPr="00903BC1" w:rsidRDefault="00DC1244" w:rsidP="00DC1244">
      <w:pPr>
        <w:spacing w:line="360" w:lineRule="auto"/>
        <w:ind w:left="720" w:hanging="720"/>
        <w:contextualSpacing/>
        <w:rPr>
          <w:color w:val="000000"/>
        </w:rPr>
      </w:pPr>
      <w:proofErr w:type="spellStart"/>
      <w:r w:rsidRPr="00E16B44">
        <w:rPr>
          <w:color w:val="000000"/>
        </w:rPr>
        <w:t>Kolasa</w:t>
      </w:r>
      <w:proofErr w:type="spellEnd"/>
      <w:r w:rsidRPr="00E16B44">
        <w:rPr>
          <w:color w:val="000000"/>
        </w:rPr>
        <w:t xml:space="preserve">, M., &amp; </w:t>
      </w:r>
      <w:proofErr w:type="spellStart"/>
      <w:r w:rsidRPr="00E16B44">
        <w:rPr>
          <w:color w:val="000000"/>
        </w:rPr>
        <w:t>Wesołowski</w:t>
      </w:r>
      <w:proofErr w:type="spellEnd"/>
      <w:r w:rsidRPr="00E16B44">
        <w:rPr>
          <w:color w:val="000000"/>
        </w:rPr>
        <w:t xml:space="preserve">, G. (2020). International </w:t>
      </w:r>
      <w:proofErr w:type="spellStart"/>
      <w:r w:rsidRPr="00E16B44">
        <w:rPr>
          <w:color w:val="000000"/>
        </w:rPr>
        <w:t>spillovers</w:t>
      </w:r>
      <w:proofErr w:type="spellEnd"/>
      <w:r w:rsidRPr="00E16B44">
        <w:rPr>
          <w:color w:val="000000"/>
        </w:rPr>
        <w:t xml:space="preserve"> of quantitative easing. Journal of International Economics, 126, 103330. Retrieved from https://www.sciencedirect.com/science/article/pii/S0022199620300477?casa_token=cOGnEgSZ16oAAAAA:oxt9r8jAca6J1aBeeIHlJV6sxnPHAYav-tz_ssE7tbBHhZBIa5Rlq1G_DzYU56LAEVvhMMMY8lk</w:t>
      </w:r>
    </w:p>
    <w:p w14:paraId="517B074F" w14:textId="77777777" w:rsidR="00DC1244" w:rsidRPr="00903BC1" w:rsidRDefault="00DC1244" w:rsidP="00DC1244">
      <w:pPr>
        <w:spacing w:line="360" w:lineRule="auto"/>
        <w:ind w:left="720" w:hanging="720"/>
        <w:contextualSpacing/>
        <w:rPr>
          <w:color w:val="000000"/>
        </w:rPr>
      </w:pPr>
      <w:r w:rsidRPr="00903BC1">
        <w:rPr>
          <w:color w:val="000000"/>
        </w:rPr>
        <w:t xml:space="preserve">Krugman, P. R., Dominquez, K. M., &amp; Rogoff, K. (1998). It's </w:t>
      </w:r>
      <w:proofErr w:type="spellStart"/>
      <w:r w:rsidRPr="00903BC1">
        <w:rPr>
          <w:color w:val="000000"/>
        </w:rPr>
        <w:t>baaack</w:t>
      </w:r>
      <w:proofErr w:type="spellEnd"/>
      <w:r w:rsidRPr="00903BC1">
        <w:rPr>
          <w:color w:val="000000"/>
        </w:rPr>
        <w:t>: Japan's slump and the return of the liquidity trap. Brookings papers on economic activity, 1998(2), 137-205. Retrieved from https://www.jstor.org/stable/2534694?casa_token=07BbaEd8JA0AAAAA%3AT-i73zL7FPtTbokLJZS6ZyDm9ycN9HEjq8_zPddYH2_WhyKlcjD1U3G5Iab4WARJqxYgRoai2mUhnqX8cSLx3u1bxGAN7RWK-ocNIbNHVGW8erueMMMK</w:t>
      </w:r>
    </w:p>
    <w:p w14:paraId="77D430F8" w14:textId="5F2B7877" w:rsidR="00DC1244" w:rsidRDefault="00DC1244" w:rsidP="00DC1244">
      <w:pPr>
        <w:spacing w:line="360" w:lineRule="auto"/>
        <w:ind w:left="720" w:hanging="720"/>
        <w:contextualSpacing/>
        <w:rPr>
          <w:color w:val="000000"/>
        </w:rPr>
      </w:pPr>
      <w:r w:rsidRPr="00903BC1">
        <w:rPr>
          <w:color w:val="000000"/>
        </w:rPr>
        <w:t>Lane, P. R. (2020). The monetary policy toolbox: evidence from the euro area. Retrieved from</w:t>
      </w:r>
      <w:r>
        <w:rPr>
          <w:color w:val="000000"/>
        </w:rPr>
        <w:t xml:space="preserve"> </w:t>
      </w:r>
      <w:hyperlink r:id="rId34" w:history="1">
        <w:r w:rsidR="00450D19" w:rsidRPr="00450D19">
          <w:t>https://www.ecb.europa.eu/press/key/date/2020/html/ecb.sp200221~d147a71a37.en.html</w:t>
        </w:r>
      </w:hyperlink>
    </w:p>
    <w:p w14:paraId="7CDB23BF" w14:textId="0833DC68" w:rsidR="00450D19" w:rsidRPr="00903BC1" w:rsidRDefault="00450D19" w:rsidP="00DC1244">
      <w:pPr>
        <w:spacing w:line="360" w:lineRule="auto"/>
        <w:ind w:left="720" w:hanging="720"/>
        <w:contextualSpacing/>
        <w:rPr>
          <w:color w:val="000000"/>
        </w:rPr>
      </w:pPr>
      <w:r>
        <w:t xml:space="preserve">Lewis V, Roth M (2015) Financial Market Effects of </w:t>
      </w:r>
      <w:proofErr w:type="gramStart"/>
      <w:r>
        <w:t>ECB‘</w:t>
      </w:r>
      <w:proofErr w:type="gramEnd"/>
      <w:r>
        <w:t>s Balance Sheet Policies. Technical report, Bundesbank.</w:t>
      </w:r>
    </w:p>
    <w:p w14:paraId="2267A10B" w14:textId="77777777" w:rsidR="00DC1244" w:rsidRPr="00903BC1" w:rsidRDefault="00DC1244" w:rsidP="00DC1244">
      <w:pPr>
        <w:spacing w:line="360" w:lineRule="auto"/>
        <w:ind w:left="720" w:hanging="720"/>
        <w:contextualSpacing/>
        <w:rPr>
          <w:color w:val="000000"/>
        </w:rPr>
      </w:pPr>
      <w:proofErr w:type="spellStart"/>
      <w:r w:rsidRPr="00903BC1">
        <w:rPr>
          <w:color w:val="000000"/>
        </w:rPr>
        <w:t>Moessner</w:t>
      </w:r>
      <w:proofErr w:type="spellEnd"/>
      <w:r w:rsidRPr="00903BC1">
        <w:rPr>
          <w:color w:val="000000"/>
        </w:rPr>
        <w:t xml:space="preserve">, R., &amp; </w:t>
      </w:r>
      <w:proofErr w:type="spellStart"/>
      <w:r w:rsidRPr="00903BC1">
        <w:rPr>
          <w:color w:val="000000"/>
        </w:rPr>
        <w:t>Rungcharoenkitkul</w:t>
      </w:r>
      <w:proofErr w:type="spellEnd"/>
      <w:r w:rsidRPr="00903BC1">
        <w:rPr>
          <w:color w:val="000000"/>
        </w:rPr>
        <w:t>, P. (2019). The zero lower bound, forward guidance and how markets respond to news. BIS Quarterly Review, March. Retrieved from https://papers.ssrn.com/sol3/papers.cfm?abstract_id=3348193</w:t>
      </w:r>
    </w:p>
    <w:p w14:paraId="7C99DBB7" w14:textId="4ED86197" w:rsidR="00DC1244" w:rsidRDefault="00DC1244" w:rsidP="00DC1244">
      <w:pPr>
        <w:spacing w:line="360" w:lineRule="auto"/>
        <w:ind w:left="720" w:hanging="720"/>
        <w:contextualSpacing/>
        <w:rPr>
          <w:color w:val="000000"/>
        </w:rPr>
      </w:pPr>
      <w:proofErr w:type="spellStart"/>
      <w:r w:rsidRPr="00903BC1">
        <w:rPr>
          <w:color w:val="000000"/>
        </w:rPr>
        <w:t>Potjagailo</w:t>
      </w:r>
      <w:proofErr w:type="spellEnd"/>
      <w:r w:rsidRPr="00903BC1">
        <w:rPr>
          <w:color w:val="000000"/>
        </w:rPr>
        <w:t xml:space="preserve">, G. (2017). Spillover effects from Euro area monetary policy across Europe: A factor-augmented VAR approach. Journal of International Money and Finance, 72, 127-147. Retrieved from </w:t>
      </w:r>
      <w:hyperlink r:id="rId35" w:history="1">
        <w:r w:rsidR="00E91B5B" w:rsidRPr="00E91B5B">
          <w:t>https://www.sciencedirect.com/science/article/pii/S0261560617300037?casa_to</w:t>
        </w:r>
        <w:r w:rsidR="00E91B5B" w:rsidRPr="00E91B5B">
          <w:lastRenderedPageBreak/>
          <w:t>ken=Fr-BWwhmwh4AAAAA:NkSY_OUp7paH1uHZ3aESwvDZ--aJSYF_kIGJ9L0a6dT2HBVsb2DF9hTiDANDpoKE8FwtA2_D8xo</w:t>
        </w:r>
      </w:hyperlink>
    </w:p>
    <w:p w14:paraId="63C34034" w14:textId="35386A56" w:rsidR="00E91B5B" w:rsidRPr="00903BC1" w:rsidRDefault="00E91B5B" w:rsidP="00DC1244">
      <w:pPr>
        <w:spacing w:line="360" w:lineRule="auto"/>
        <w:ind w:left="720" w:hanging="720"/>
        <w:contextualSpacing/>
        <w:rPr>
          <w:color w:val="000000"/>
        </w:rPr>
      </w:pPr>
      <w:proofErr w:type="spellStart"/>
      <w:r>
        <w:t>Peersman</w:t>
      </w:r>
      <w:proofErr w:type="spellEnd"/>
      <w:r>
        <w:t>, G. (2011). Macroeconomic Effects of Unconventional Monetary Policy in the Euro Area. CEPR Discussion Papers 8348, C.E.P.R. Discussion Papers</w:t>
      </w:r>
    </w:p>
    <w:p w14:paraId="358EE894" w14:textId="77777777" w:rsidR="00DC1244" w:rsidRDefault="00DC1244" w:rsidP="00DC1244">
      <w:pPr>
        <w:spacing w:line="360" w:lineRule="auto"/>
        <w:ind w:left="720" w:hanging="720"/>
        <w:contextualSpacing/>
        <w:rPr>
          <w:color w:val="000000"/>
        </w:rPr>
      </w:pPr>
      <w:proofErr w:type="spellStart"/>
      <w:r w:rsidRPr="00903BC1">
        <w:rPr>
          <w:color w:val="000000"/>
        </w:rPr>
        <w:t>Praet</w:t>
      </w:r>
      <w:proofErr w:type="spellEnd"/>
      <w:r w:rsidRPr="00903BC1">
        <w:rPr>
          <w:color w:val="000000"/>
        </w:rPr>
        <w:t xml:space="preserve">, P. (2013). Forward Guidance and the ECB. Forward Guidance: Perspectives from Central Bankers, </w:t>
      </w:r>
      <w:proofErr w:type="gramStart"/>
      <w:r w:rsidRPr="00903BC1">
        <w:rPr>
          <w:color w:val="000000"/>
        </w:rPr>
        <w:t>Scholars</w:t>
      </w:r>
      <w:proofErr w:type="gramEnd"/>
      <w:r w:rsidRPr="00903BC1">
        <w:rPr>
          <w:color w:val="000000"/>
        </w:rPr>
        <w:t xml:space="preserve"> and Market Participants, 25-34. Retrieved from </w:t>
      </w:r>
      <w:hyperlink r:id="rId36" w:anchor="page=35" w:history="1">
        <w:r w:rsidRPr="00BA1732">
          <w:rPr>
            <w:color w:val="000000"/>
          </w:rPr>
          <w:t>https://voxeu.org/system/files/epublication/forward_guidance.pdf#page=35</w:t>
        </w:r>
      </w:hyperlink>
    </w:p>
    <w:p w14:paraId="467D3B39" w14:textId="77777777" w:rsidR="00DC1244" w:rsidRPr="00BA1732" w:rsidRDefault="00DC1244" w:rsidP="00DC1244">
      <w:pPr>
        <w:spacing w:line="360" w:lineRule="auto"/>
        <w:ind w:left="720" w:hanging="720"/>
        <w:contextualSpacing/>
        <w:rPr>
          <w:color w:val="000000"/>
        </w:rPr>
      </w:pPr>
      <w:r w:rsidRPr="00BA1732">
        <w:rPr>
          <w:color w:val="000000"/>
        </w:rPr>
        <w:t xml:space="preserve">Rai, V., &amp; </w:t>
      </w:r>
      <w:proofErr w:type="spellStart"/>
      <w:r w:rsidRPr="00BA1732">
        <w:rPr>
          <w:color w:val="000000"/>
        </w:rPr>
        <w:t>Suchanek</w:t>
      </w:r>
      <w:proofErr w:type="spellEnd"/>
      <w:r w:rsidRPr="00BA1732">
        <w:rPr>
          <w:color w:val="000000"/>
        </w:rPr>
        <w:t>, L. (2014). The effect of the federal reserve’s tapering announcements on emerging markets (No. 2014-50). Bank of Canada. Retrieved from https://www.econstor.eu/handle/10419/123738</w:t>
      </w:r>
    </w:p>
    <w:p w14:paraId="4D55E228" w14:textId="77777777" w:rsidR="00DC1244" w:rsidRPr="00903BC1" w:rsidRDefault="00DC1244" w:rsidP="00DC1244">
      <w:pPr>
        <w:spacing w:line="360" w:lineRule="auto"/>
        <w:ind w:left="720" w:hanging="720"/>
        <w:contextualSpacing/>
        <w:rPr>
          <w:color w:val="000000"/>
        </w:rPr>
      </w:pPr>
      <w:proofErr w:type="spellStart"/>
      <w:r w:rsidRPr="00BA1732">
        <w:rPr>
          <w:color w:val="000000"/>
        </w:rPr>
        <w:t>Rajan</w:t>
      </w:r>
      <w:proofErr w:type="spellEnd"/>
      <w:r w:rsidRPr="00BA1732">
        <w:rPr>
          <w:color w:val="000000"/>
        </w:rPr>
        <w:t>, R. (2016, March). Towards rules of the monetary game. In Speech held at the IMF/Government of India Conference on Advancing Asia: Investing for the Future, New Delhi (Vol. 12).</w:t>
      </w:r>
    </w:p>
    <w:p w14:paraId="72D1FA4F" w14:textId="77777777" w:rsidR="00DC1244" w:rsidRPr="00F8472C" w:rsidRDefault="00DC1244" w:rsidP="00DC1244">
      <w:pPr>
        <w:spacing w:line="360" w:lineRule="auto"/>
        <w:ind w:left="720" w:hanging="720"/>
        <w:contextualSpacing/>
        <w:rPr>
          <w:color w:val="000000"/>
        </w:rPr>
      </w:pPr>
      <w:r w:rsidRPr="00F8472C">
        <w:rPr>
          <w:color w:val="000000"/>
        </w:rPr>
        <w:t xml:space="preserve">Schnabel, I. (2020, August 26). Going negative: The ECB's experience. European Central Bank. Retrieved from https://www.ecb.europa.eu/press/key/date/2020/html/ecb.sp200826~77ce66626c.en.html. </w:t>
      </w:r>
    </w:p>
    <w:p w14:paraId="7C7CAA79" w14:textId="77777777" w:rsidR="00DC1244" w:rsidRPr="00903BC1" w:rsidRDefault="00DC1244" w:rsidP="00DC1244">
      <w:pPr>
        <w:spacing w:line="360" w:lineRule="auto"/>
        <w:ind w:left="720" w:hanging="720"/>
        <w:contextualSpacing/>
        <w:rPr>
          <w:color w:val="000000"/>
        </w:rPr>
      </w:pPr>
      <w:r w:rsidRPr="00903BC1">
        <w:rPr>
          <w:color w:val="000000"/>
        </w:rPr>
        <w:t xml:space="preserve">Sever, C., Goel, R., </w:t>
      </w:r>
      <w:proofErr w:type="spellStart"/>
      <w:r w:rsidRPr="00903BC1">
        <w:rPr>
          <w:color w:val="000000"/>
        </w:rPr>
        <w:t>Drakopoulos</w:t>
      </w:r>
      <w:proofErr w:type="spellEnd"/>
      <w:r w:rsidRPr="00903BC1">
        <w:rPr>
          <w:color w:val="000000"/>
        </w:rPr>
        <w:t xml:space="preserve">, D., &amp; </w:t>
      </w:r>
      <w:proofErr w:type="spellStart"/>
      <w:r w:rsidRPr="00903BC1">
        <w:rPr>
          <w:color w:val="000000"/>
        </w:rPr>
        <w:t>Papageorgiou</w:t>
      </w:r>
      <w:proofErr w:type="spellEnd"/>
      <w:r w:rsidRPr="00903BC1">
        <w:rPr>
          <w:color w:val="000000"/>
        </w:rPr>
        <w:t xml:space="preserve">, E. (2020). Effects of emerging market asset purchase program announcements on financial markets during the COVID-19 pandemic. Available at SSRN 3772498. Retrieved from </w:t>
      </w:r>
      <w:hyperlink r:id="rId37" w:history="1">
        <w:r w:rsidRPr="00B57815">
          <w:rPr>
            <w:color w:val="000000"/>
          </w:rPr>
          <w:t>https://papers.ssrn.com/sol3/papers.cfm?abstract_id=3772498</w:t>
        </w:r>
      </w:hyperlink>
    </w:p>
    <w:p w14:paraId="55A4D4DF" w14:textId="77777777" w:rsidR="00DC1244" w:rsidRPr="00903BC1" w:rsidRDefault="00DC1244" w:rsidP="00DC1244">
      <w:pPr>
        <w:spacing w:line="360" w:lineRule="auto"/>
        <w:ind w:left="720" w:hanging="720"/>
        <w:contextualSpacing/>
        <w:rPr>
          <w:color w:val="000000"/>
        </w:rPr>
      </w:pPr>
      <w:r w:rsidRPr="00903BC1">
        <w:rPr>
          <w:color w:val="000000"/>
        </w:rPr>
        <w:t xml:space="preserve">Stann, C. M., &amp; </w:t>
      </w:r>
      <w:proofErr w:type="spellStart"/>
      <w:r w:rsidRPr="00903BC1">
        <w:rPr>
          <w:color w:val="000000"/>
        </w:rPr>
        <w:t>Grigoriadis</w:t>
      </w:r>
      <w:proofErr w:type="spellEnd"/>
      <w:r w:rsidRPr="00903BC1">
        <w:rPr>
          <w:color w:val="000000"/>
        </w:rPr>
        <w:t>, T. N. (2020). Monetary Policy Transmission to Russia and Eastern Europe. Comparative Economic Studies, 62(2), 303-353. Retrieved from https://link.springer.com/article/10.1057/s41294-020-00114-3</w:t>
      </w:r>
    </w:p>
    <w:p w14:paraId="2F876506" w14:textId="77777777" w:rsidR="00DC1244" w:rsidRPr="00903BC1" w:rsidRDefault="00DC1244" w:rsidP="00DC1244">
      <w:pPr>
        <w:spacing w:line="360" w:lineRule="auto"/>
        <w:ind w:left="720" w:hanging="720"/>
        <w:contextualSpacing/>
        <w:rPr>
          <w:color w:val="000000"/>
        </w:rPr>
      </w:pPr>
      <w:r w:rsidRPr="00903BC1">
        <w:rPr>
          <w:color w:val="000000"/>
        </w:rPr>
        <w:t>Swanson, E. T. (2021). Measuring the effects of federal reserve forward guidance and asset purchases on financial markets. Journal of Monetary Economics, 118, 32-53. Retrieved from https://www.sciencedirect.com/science/article/pii/S0304393220301082?casa_token=yxHyk4lScwgAAAAA:G3NlZUL_evSxQzAHmG1_QnTrbIlvLrmr0oSxF2DUZ86hW69-PypB5yadpkO5R3aaspslRhh3g7c</w:t>
      </w:r>
    </w:p>
    <w:p w14:paraId="783B743D" w14:textId="77777777" w:rsidR="00DC1244" w:rsidRPr="00903BC1" w:rsidRDefault="00DC1244" w:rsidP="00DC1244">
      <w:pPr>
        <w:spacing w:line="360" w:lineRule="auto"/>
        <w:ind w:left="720" w:hanging="720"/>
        <w:contextualSpacing/>
        <w:rPr>
          <w:color w:val="000000"/>
        </w:rPr>
      </w:pPr>
      <w:r w:rsidRPr="00903BC1">
        <w:rPr>
          <w:color w:val="000000"/>
        </w:rPr>
        <w:t xml:space="preserve">Varghese, R., &amp; Zhang, Y. S. (2018). A new wave of ECB’s unconventional monetary policies: Domestic impact and </w:t>
      </w:r>
      <w:proofErr w:type="spellStart"/>
      <w:r w:rsidRPr="00903BC1">
        <w:rPr>
          <w:color w:val="000000"/>
        </w:rPr>
        <w:t>spillovers</w:t>
      </w:r>
      <w:proofErr w:type="spellEnd"/>
      <w:r w:rsidRPr="00903BC1">
        <w:rPr>
          <w:color w:val="000000"/>
        </w:rPr>
        <w:t xml:space="preserve">. International Monetary </w:t>
      </w:r>
      <w:proofErr w:type="spellStart"/>
      <w:r w:rsidRPr="00903BC1">
        <w:rPr>
          <w:color w:val="000000"/>
        </w:rPr>
        <w:t>Fund.</w:t>
      </w:r>
      <w:r w:rsidRPr="00F8472C">
        <w:rPr>
          <w:color w:val="000000"/>
        </w:rPr>
        <w:t>Retrieved</w:t>
      </w:r>
      <w:proofErr w:type="spellEnd"/>
      <w:r w:rsidRPr="00F8472C">
        <w:rPr>
          <w:color w:val="000000"/>
        </w:rPr>
        <w:t xml:space="preserve"> from https://www.elibrary.imf.org/view/journals/001/2018/011/article-A001-en.xml.</w:t>
      </w:r>
    </w:p>
    <w:p w14:paraId="1BE738EE" w14:textId="77777777" w:rsidR="00DC1244" w:rsidRPr="00903BC1" w:rsidRDefault="00DC1244" w:rsidP="00DC1244">
      <w:pPr>
        <w:spacing w:line="360" w:lineRule="auto"/>
        <w:ind w:left="720" w:hanging="720"/>
        <w:contextualSpacing/>
        <w:rPr>
          <w:color w:val="000000"/>
        </w:rPr>
      </w:pPr>
      <w:proofErr w:type="spellStart"/>
      <w:r w:rsidRPr="00903BC1">
        <w:rPr>
          <w:color w:val="000000"/>
        </w:rPr>
        <w:lastRenderedPageBreak/>
        <w:t>Warsono</w:t>
      </w:r>
      <w:proofErr w:type="spellEnd"/>
      <w:r w:rsidRPr="00903BC1">
        <w:rPr>
          <w:color w:val="000000"/>
        </w:rPr>
        <w:t xml:space="preserve">, W., Russel, E., </w:t>
      </w:r>
      <w:proofErr w:type="spellStart"/>
      <w:r w:rsidRPr="00903BC1">
        <w:rPr>
          <w:color w:val="000000"/>
        </w:rPr>
        <w:t>Wamiliana</w:t>
      </w:r>
      <w:proofErr w:type="spellEnd"/>
      <w:r w:rsidRPr="00903BC1">
        <w:rPr>
          <w:color w:val="000000"/>
        </w:rPr>
        <w:t xml:space="preserve">, W., </w:t>
      </w:r>
      <w:proofErr w:type="spellStart"/>
      <w:r w:rsidRPr="00903BC1">
        <w:rPr>
          <w:color w:val="000000"/>
        </w:rPr>
        <w:t>Widiarti</w:t>
      </w:r>
      <w:proofErr w:type="spellEnd"/>
      <w:r w:rsidRPr="00903BC1">
        <w:rPr>
          <w:color w:val="000000"/>
        </w:rPr>
        <w:t xml:space="preserve">, W., &amp; Usman, M. (2019). Vector autoregressive with exogenous variable model and its application in </w:t>
      </w:r>
      <w:proofErr w:type="spellStart"/>
      <w:r w:rsidRPr="00903BC1">
        <w:rPr>
          <w:color w:val="000000"/>
        </w:rPr>
        <w:t>modeling</w:t>
      </w:r>
      <w:proofErr w:type="spellEnd"/>
      <w:r w:rsidRPr="00903BC1">
        <w:rPr>
          <w:color w:val="000000"/>
        </w:rPr>
        <w:t xml:space="preserve"> and forecasting energy data: Case study of PTBA and HRUM energy. International Journal of Energy Economics and Policy, 9(2), 390-398. Retrieved from </w:t>
      </w:r>
      <w:hyperlink r:id="rId38" w:history="1">
        <w:r w:rsidRPr="00E16B44">
          <w:rPr>
            <w:color w:val="000000"/>
          </w:rPr>
          <w:t>https://www.econjournals.com/index.php/ijeep/article/view/7223</w:t>
        </w:r>
      </w:hyperlink>
    </w:p>
    <w:p w14:paraId="107FC42D" w14:textId="5DBBEA27" w:rsidR="00DC1244" w:rsidRDefault="00DC1244" w:rsidP="00DC1244">
      <w:pPr>
        <w:spacing w:line="360" w:lineRule="auto"/>
        <w:ind w:left="720" w:hanging="720"/>
        <w:contextualSpacing/>
        <w:rPr>
          <w:color w:val="000000"/>
        </w:rPr>
      </w:pPr>
      <w:proofErr w:type="spellStart"/>
      <w:r w:rsidRPr="00903BC1">
        <w:rPr>
          <w:color w:val="000000"/>
        </w:rPr>
        <w:t>Zlobins</w:t>
      </w:r>
      <w:proofErr w:type="spellEnd"/>
      <w:r w:rsidRPr="00903BC1">
        <w:rPr>
          <w:color w:val="000000"/>
        </w:rPr>
        <w:t xml:space="preserve">, A. (2021). Macroeconomic effects of the ECB’S forward guidance. Empirical Economics, 61(5), 2587-2611. Retrieved from </w:t>
      </w:r>
      <w:hyperlink r:id="rId39" w:history="1">
        <w:r w:rsidR="00E91B5B" w:rsidRPr="00365247">
          <w:rPr>
            <w:color w:val="000000"/>
          </w:rPr>
          <w:t>https://link.springer.com/article/10.1007/s00181-020-01981-6</w:t>
        </w:r>
      </w:hyperlink>
    </w:p>
    <w:p w14:paraId="5E2A07BD" w14:textId="0D12D547" w:rsidR="00E91B5B" w:rsidRDefault="00E91B5B" w:rsidP="00DC1244">
      <w:pPr>
        <w:spacing w:line="360" w:lineRule="auto"/>
        <w:ind w:left="720" w:hanging="720"/>
        <w:contextualSpacing/>
        <w:rPr>
          <w:color w:val="000000"/>
        </w:rPr>
      </w:pPr>
    </w:p>
    <w:p w14:paraId="268CC8FB" w14:textId="020703E7" w:rsidR="00E91B5B" w:rsidRDefault="00E91B5B" w:rsidP="00DC1244">
      <w:pPr>
        <w:spacing w:line="360" w:lineRule="auto"/>
        <w:ind w:left="720" w:hanging="720"/>
        <w:contextualSpacing/>
        <w:rPr>
          <w:color w:val="000000"/>
        </w:rPr>
      </w:pPr>
    </w:p>
    <w:p w14:paraId="622D69AA" w14:textId="033B9A2C" w:rsidR="00E91B5B" w:rsidRDefault="00E91B5B" w:rsidP="00DC1244">
      <w:pPr>
        <w:spacing w:line="360" w:lineRule="auto"/>
        <w:ind w:left="720" w:hanging="720"/>
        <w:contextualSpacing/>
        <w:rPr>
          <w:color w:val="000000"/>
        </w:rPr>
      </w:pPr>
    </w:p>
    <w:p w14:paraId="20963452" w14:textId="3D61F952" w:rsidR="00E91B5B" w:rsidRDefault="00E91B5B" w:rsidP="00DC1244">
      <w:pPr>
        <w:spacing w:line="360" w:lineRule="auto"/>
        <w:ind w:left="720" w:hanging="720"/>
        <w:contextualSpacing/>
        <w:rPr>
          <w:color w:val="000000"/>
        </w:rPr>
      </w:pPr>
    </w:p>
    <w:p w14:paraId="72A68CDD" w14:textId="7A76DE76" w:rsidR="00E91B5B" w:rsidRDefault="00E91B5B" w:rsidP="00DC1244">
      <w:pPr>
        <w:spacing w:line="360" w:lineRule="auto"/>
        <w:ind w:left="720" w:hanging="720"/>
        <w:contextualSpacing/>
        <w:rPr>
          <w:color w:val="000000"/>
        </w:rPr>
      </w:pPr>
    </w:p>
    <w:p w14:paraId="3D414F86" w14:textId="0D94AEDC" w:rsidR="00E91B5B" w:rsidRDefault="00E91B5B" w:rsidP="00DC1244">
      <w:pPr>
        <w:spacing w:line="360" w:lineRule="auto"/>
        <w:ind w:left="720" w:hanging="720"/>
        <w:contextualSpacing/>
        <w:rPr>
          <w:color w:val="000000"/>
        </w:rPr>
      </w:pPr>
    </w:p>
    <w:p w14:paraId="1C04E5F9" w14:textId="02F72FD7" w:rsidR="00E91B5B" w:rsidRDefault="00E91B5B" w:rsidP="00DC1244">
      <w:pPr>
        <w:spacing w:line="360" w:lineRule="auto"/>
        <w:ind w:left="720" w:hanging="720"/>
        <w:contextualSpacing/>
        <w:rPr>
          <w:color w:val="000000"/>
        </w:rPr>
      </w:pPr>
    </w:p>
    <w:p w14:paraId="5FF30F4A" w14:textId="0A9E6EF8" w:rsidR="00E91B5B" w:rsidRDefault="00E91B5B" w:rsidP="00DC1244">
      <w:pPr>
        <w:spacing w:line="360" w:lineRule="auto"/>
        <w:ind w:left="720" w:hanging="720"/>
        <w:contextualSpacing/>
        <w:rPr>
          <w:color w:val="000000"/>
        </w:rPr>
      </w:pPr>
    </w:p>
    <w:p w14:paraId="7B13C57B" w14:textId="408BF206" w:rsidR="00E91B5B" w:rsidRDefault="00E91B5B" w:rsidP="00DC1244">
      <w:pPr>
        <w:spacing w:line="360" w:lineRule="auto"/>
        <w:ind w:left="720" w:hanging="720"/>
        <w:contextualSpacing/>
        <w:rPr>
          <w:color w:val="000000"/>
        </w:rPr>
      </w:pPr>
    </w:p>
    <w:p w14:paraId="53D0B136" w14:textId="082B4714" w:rsidR="00E91B5B" w:rsidRDefault="00E91B5B" w:rsidP="00DC1244">
      <w:pPr>
        <w:spacing w:line="360" w:lineRule="auto"/>
        <w:ind w:left="720" w:hanging="720"/>
        <w:contextualSpacing/>
        <w:rPr>
          <w:color w:val="000000"/>
        </w:rPr>
      </w:pPr>
    </w:p>
    <w:p w14:paraId="7F52714D" w14:textId="18D1892B" w:rsidR="00E91B5B" w:rsidRDefault="00E91B5B" w:rsidP="00DC1244">
      <w:pPr>
        <w:spacing w:line="360" w:lineRule="auto"/>
        <w:ind w:left="720" w:hanging="720"/>
        <w:contextualSpacing/>
        <w:rPr>
          <w:color w:val="000000"/>
        </w:rPr>
      </w:pPr>
    </w:p>
    <w:p w14:paraId="3987E334" w14:textId="2D241EA7" w:rsidR="00E91B5B" w:rsidRDefault="00E91B5B" w:rsidP="00DC1244">
      <w:pPr>
        <w:spacing w:line="360" w:lineRule="auto"/>
        <w:ind w:left="720" w:hanging="720"/>
        <w:contextualSpacing/>
        <w:rPr>
          <w:color w:val="000000"/>
        </w:rPr>
      </w:pPr>
    </w:p>
    <w:p w14:paraId="5DB8C18F" w14:textId="13E68370" w:rsidR="00E91B5B" w:rsidRDefault="00E91B5B" w:rsidP="00DC1244">
      <w:pPr>
        <w:spacing w:line="360" w:lineRule="auto"/>
        <w:ind w:left="720" w:hanging="720"/>
        <w:contextualSpacing/>
        <w:rPr>
          <w:color w:val="000000"/>
        </w:rPr>
      </w:pPr>
    </w:p>
    <w:p w14:paraId="0D4D162A" w14:textId="6157FEC1" w:rsidR="00E91B5B" w:rsidRDefault="00E91B5B" w:rsidP="00DC1244">
      <w:pPr>
        <w:spacing w:line="360" w:lineRule="auto"/>
        <w:ind w:left="720" w:hanging="720"/>
        <w:contextualSpacing/>
        <w:rPr>
          <w:color w:val="000000"/>
        </w:rPr>
      </w:pPr>
    </w:p>
    <w:p w14:paraId="07D5267B" w14:textId="58565A59" w:rsidR="00E91B5B" w:rsidRDefault="00E91B5B" w:rsidP="00DC1244">
      <w:pPr>
        <w:spacing w:line="360" w:lineRule="auto"/>
        <w:ind w:left="720" w:hanging="720"/>
        <w:contextualSpacing/>
        <w:rPr>
          <w:color w:val="000000"/>
        </w:rPr>
      </w:pPr>
    </w:p>
    <w:p w14:paraId="03D4F3DC" w14:textId="1B9BE523" w:rsidR="00E91B5B" w:rsidRDefault="00E91B5B" w:rsidP="00DC1244">
      <w:pPr>
        <w:spacing w:line="360" w:lineRule="auto"/>
        <w:ind w:left="720" w:hanging="720"/>
        <w:contextualSpacing/>
        <w:rPr>
          <w:color w:val="000000"/>
        </w:rPr>
      </w:pPr>
    </w:p>
    <w:p w14:paraId="46B23B9E" w14:textId="3EA5F650" w:rsidR="00E91B5B" w:rsidRDefault="00E91B5B" w:rsidP="00DC1244">
      <w:pPr>
        <w:spacing w:line="360" w:lineRule="auto"/>
        <w:ind w:left="720" w:hanging="720"/>
        <w:contextualSpacing/>
        <w:rPr>
          <w:color w:val="000000"/>
        </w:rPr>
      </w:pPr>
    </w:p>
    <w:p w14:paraId="7FE733B3" w14:textId="63B755A8" w:rsidR="00E91B5B" w:rsidRDefault="00E91B5B" w:rsidP="00DC1244">
      <w:pPr>
        <w:spacing w:line="360" w:lineRule="auto"/>
        <w:ind w:left="720" w:hanging="720"/>
        <w:contextualSpacing/>
        <w:rPr>
          <w:color w:val="000000"/>
        </w:rPr>
      </w:pPr>
    </w:p>
    <w:p w14:paraId="0B5E0326" w14:textId="30AB789C" w:rsidR="00E91B5B" w:rsidRDefault="00E91B5B" w:rsidP="00DC1244">
      <w:pPr>
        <w:spacing w:line="360" w:lineRule="auto"/>
        <w:ind w:left="720" w:hanging="720"/>
        <w:contextualSpacing/>
        <w:rPr>
          <w:color w:val="000000"/>
        </w:rPr>
      </w:pPr>
    </w:p>
    <w:p w14:paraId="3D3ECE2A" w14:textId="77777777" w:rsidR="00E91B5B" w:rsidRPr="00903BC1" w:rsidRDefault="00E91B5B" w:rsidP="00DC1244">
      <w:pPr>
        <w:spacing w:line="360" w:lineRule="auto"/>
        <w:ind w:left="720" w:hanging="720"/>
        <w:contextualSpacing/>
        <w:rPr>
          <w:color w:val="000000"/>
        </w:rPr>
      </w:pPr>
    </w:p>
    <w:p w14:paraId="1095B14A" w14:textId="77777777" w:rsidR="00DC1244" w:rsidRPr="00903BC1" w:rsidRDefault="00DC1244" w:rsidP="00DC1244">
      <w:pPr>
        <w:spacing w:line="360" w:lineRule="auto"/>
        <w:ind w:left="720" w:hanging="720"/>
        <w:contextualSpacing/>
        <w:rPr>
          <w:color w:val="000000"/>
        </w:rPr>
      </w:pPr>
    </w:p>
    <w:p w14:paraId="59BF2D89" w14:textId="77777777" w:rsidR="00DC1244" w:rsidRPr="00903BC1" w:rsidRDefault="00DC1244" w:rsidP="00DC1244">
      <w:pPr>
        <w:spacing w:line="360" w:lineRule="auto"/>
        <w:ind w:left="720" w:hanging="720"/>
        <w:contextualSpacing/>
        <w:rPr>
          <w:color w:val="000000"/>
        </w:rPr>
      </w:pPr>
    </w:p>
    <w:p w14:paraId="24AC8266" w14:textId="438942C5" w:rsidR="00A559E2" w:rsidRDefault="00A559E2" w:rsidP="00A559E2">
      <w:pPr>
        <w:pStyle w:val="Heading1"/>
        <w:jc w:val="center"/>
        <w:rPr>
          <w:i/>
          <w:iCs/>
        </w:rPr>
      </w:pPr>
      <w:bookmarkStart w:id="37" w:name="_Toc99919344"/>
      <w:r w:rsidRPr="00A559E2">
        <w:rPr>
          <w:i/>
          <w:iCs/>
        </w:rPr>
        <w:lastRenderedPageBreak/>
        <w:t>8. Appendice</w:t>
      </w:r>
      <w:r>
        <w:rPr>
          <w:i/>
          <w:iCs/>
        </w:rPr>
        <w:t>s</w:t>
      </w:r>
      <w:bookmarkEnd w:id="37"/>
    </w:p>
    <w:p w14:paraId="03D34E2C" w14:textId="17700704" w:rsidR="00A559E2" w:rsidRPr="002879BD" w:rsidRDefault="00A559E2" w:rsidP="0097077A">
      <w:pPr>
        <w:spacing w:line="360" w:lineRule="auto"/>
        <w:rPr>
          <w:b/>
          <w:bCs/>
          <w:sz w:val="22"/>
          <w:szCs w:val="22"/>
          <w:lang w:val="en-US"/>
        </w:rPr>
      </w:pPr>
      <w:r w:rsidRPr="002879BD">
        <w:rPr>
          <w:b/>
          <w:bCs/>
          <w:lang w:val="en-US"/>
        </w:rPr>
        <w:t xml:space="preserve">Appendix A. Response of </w:t>
      </w:r>
      <w:r w:rsidR="0097077A" w:rsidRPr="002879BD">
        <w:rPr>
          <w:b/>
          <w:bCs/>
          <w:sz w:val="22"/>
          <w:szCs w:val="22"/>
        </w:rPr>
        <w:t xml:space="preserve">studied variables to Timing shock (from left to right: change in stock prices, change in interest rate, change in GDP, change in inflation, change in exchange rates). </w:t>
      </w:r>
    </w:p>
    <w:p w14:paraId="54269C73" w14:textId="77777777" w:rsidR="00A559E2" w:rsidRDefault="00A559E2" w:rsidP="00A559E2">
      <w:pPr>
        <w:pStyle w:val="Newparagraph"/>
        <w:ind w:firstLine="0"/>
        <w:jc w:val="center"/>
        <w:rPr>
          <w:noProof/>
        </w:rPr>
      </w:pPr>
    </w:p>
    <w:p w14:paraId="661A042C" w14:textId="02C17EB5" w:rsidR="00A559E2" w:rsidRPr="00A559E2" w:rsidRDefault="00A559E2" w:rsidP="00A559E2">
      <w:pPr>
        <w:pStyle w:val="Newparagraph"/>
        <w:ind w:firstLine="0"/>
        <w:jc w:val="center"/>
      </w:pPr>
      <w:r>
        <w:rPr>
          <w:noProof/>
        </w:rPr>
        <w:drawing>
          <wp:inline distT="0" distB="0" distL="0" distR="0" wp14:anchorId="2B67E70E" wp14:editId="1E0A8D2E">
            <wp:extent cx="5390878" cy="7394713"/>
            <wp:effectExtent l="0" t="0" r="635" b="0"/>
            <wp:docPr id="15" name="Picture 15"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 engineering drawing&#10;&#10;Description automatically generated"/>
                    <pic:cNvPicPr>
                      <a:picLocks noChangeAspect="1" noChangeArrowheads="1"/>
                    </pic:cNvPicPr>
                  </pic:nvPicPr>
                  <pic:blipFill rotWithShape="1">
                    <a:blip r:embed="rId40">
                      <a:extLst>
                        <a:ext uri="{28A0092B-C50C-407E-A947-70E740481C1C}">
                          <a14:useLocalDpi xmlns:a14="http://schemas.microsoft.com/office/drawing/2010/main" val="0"/>
                        </a:ext>
                      </a:extLst>
                    </a:blip>
                    <a:srcRect l="10019" t="12686" r="10690" b="10418"/>
                    <a:stretch/>
                  </pic:blipFill>
                  <pic:spPr bwMode="auto">
                    <a:xfrm>
                      <a:off x="0" y="0"/>
                      <a:ext cx="5406194" cy="7415722"/>
                    </a:xfrm>
                    <a:prstGeom prst="rect">
                      <a:avLst/>
                    </a:prstGeom>
                    <a:noFill/>
                    <a:ln>
                      <a:noFill/>
                    </a:ln>
                    <a:extLst>
                      <a:ext uri="{53640926-AAD7-44D8-BBD7-CCE9431645EC}">
                        <a14:shadowObscured xmlns:a14="http://schemas.microsoft.com/office/drawing/2010/main"/>
                      </a:ext>
                    </a:extLst>
                  </pic:spPr>
                </pic:pic>
              </a:graphicData>
            </a:graphic>
          </wp:inline>
        </w:drawing>
      </w:r>
    </w:p>
    <w:p w14:paraId="1642CFD1" w14:textId="77777777" w:rsidR="00DC1244" w:rsidRPr="00903BC1" w:rsidRDefault="00DC1244" w:rsidP="00DC1244">
      <w:pPr>
        <w:spacing w:line="360" w:lineRule="auto"/>
        <w:ind w:left="720" w:hanging="720"/>
        <w:contextualSpacing/>
        <w:rPr>
          <w:color w:val="000000"/>
        </w:rPr>
      </w:pPr>
    </w:p>
    <w:p w14:paraId="1C2B3FBF" w14:textId="77777777" w:rsidR="00DC1244" w:rsidRPr="00903BC1" w:rsidRDefault="00DC1244" w:rsidP="00DC1244">
      <w:pPr>
        <w:spacing w:line="360" w:lineRule="auto"/>
        <w:ind w:left="720" w:hanging="720"/>
        <w:contextualSpacing/>
        <w:rPr>
          <w:color w:val="000000"/>
        </w:rPr>
      </w:pPr>
    </w:p>
    <w:p w14:paraId="0BB8CB5B" w14:textId="4B5E1888" w:rsidR="002879BD" w:rsidRDefault="0097077A" w:rsidP="0097077A">
      <w:pPr>
        <w:spacing w:line="360" w:lineRule="auto"/>
        <w:contextualSpacing/>
        <w:rPr>
          <w:color w:val="000000"/>
        </w:rPr>
      </w:pPr>
      <w:r>
        <w:rPr>
          <w:noProof/>
        </w:rPr>
        <w:drawing>
          <wp:inline distT="0" distB="0" distL="0" distR="0" wp14:anchorId="6F393D9A" wp14:editId="76E16B3B">
            <wp:extent cx="5396865" cy="2362835"/>
            <wp:effectExtent l="0" t="0" r="0" b="0"/>
            <wp:docPr id="16" name="Picture 1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96865" cy="2362835"/>
                    </a:xfrm>
                    <a:prstGeom prst="rect">
                      <a:avLst/>
                    </a:prstGeom>
                    <a:noFill/>
                    <a:ln>
                      <a:noFill/>
                    </a:ln>
                  </pic:spPr>
                </pic:pic>
              </a:graphicData>
            </a:graphic>
          </wp:inline>
        </w:drawing>
      </w:r>
    </w:p>
    <w:p w14:paraId="086CD823" w14:textId="487F4654" w:rsidR="0097077A" w:rsidRDefault="0097077A" w:rsidP="0097077A">
      <w:pPr>
        <w:spacing w:line="360" w:lineRule="auto"/>
        <w:rPr>
          <w:b/>
          <w:bCs/>
          <w:sz w:val="22"/>
          <w:szCs w:val="22"/>
        </w:rPr>
      </w:pPr>
      <w:r w:rsidRPr="0097077A">
        <w:rPr>
          <w:b/>
          <w:bCs/>
          <w:lang w:val="en-US"/>
        </w:rPr>
        <w:t xml:space="preserve">Appendix </w:t>
      </w:r>
      <w:r>
        <w:rPr>
          <w:b/>
          <w:bCs/>
          <w:lang w:val="en-US"/>
        </w:rPr>
        <w:t>B</w:t>
      </w:r>
      <w:r w:rsidRPr="0097077A">
        <w:rPr>
          <w:b/>
          <w:bCs/>
          <w:lang w:val="en-US"/>
        </w:rPr>
        <w:t xml:space="preserve">. Response of </w:t>
      </w:r>
      <w:r w:rsidRPr="0097077A">
        <w:rPr>
          <w:b/>
          <w:bCs/>
          <w:sz w:val="22"/>
          <w:szCs w:val="22"/>
        </w:rPr>
        <w:t xml:space="preserve">studied variables to </w:t>
      </w:r>
      <w:r>
        <w:rPr>
          <w:b/>
          <w:bCs/>
          <w:sz w:val="22"/>
          <w:szCs w:val="22"/>
        </w:rPr>
        <w:t xml:space="preserve">QE shock, </w:t>
      </w:r>
      <w:r w:rsidR="008F5BB5">
        <w:rPr>
          <w:b/>
          <w:bCs/>
          <w:sz w:val="22"/>
          <w:szCs w:val="22"/>
        </w:rPr>
        <w:t xml:space="preserve">initial </w:t>
      </w:r>
      <w:proofErr w:type="spellStart"/>
      <w:r w:rsidR="008F5BB5">
        <w:rPr>
          <w:b/>
          <w:bCs/>
          <w:sz w:val="22"/>
          <w:szCs w:val="22"/>
        </w:rPr>
        <w:t>a</w:t>
      </w:r>
      <w:r>
        <w:rPr>
          <w:b/>
          <w:bCs/>
          <w:sz w:val="22"/>
          <w:szCs w:val="22"/>
        </w:rPr>
        <w:t>timespan</w:t>
      </w:r>
      <w:proofErr w:type="spellEnd"/>
      <w:r>
        <w:rPr>
          <w:b/>
          <w:bCs/>
          <w:sz w:val="22"/>
          <w:szCs w:val="22"/>
        </w:rPr>
        <w:t xml:space="preserve"> </w:t>
      </w:r>
      <w:r w:rsidRPr="0097077A">
        <w:rPr>
          <w:b/>
          <w:bCs/>
          <w:sz w:val="22"/>
          <w:szCs w:val="22"/>
        </w:rPr>
        <w:t xml:space="preserve">(from left to right: change in stock prices, change in interest rate, change in GDP, change in inflation, change in exchange rates). </w:t>
      </w:r>
    </w:p>
    <w:p w14:paraId="24B2C0BA" w14:textId="77777777" w:rsidR="002879BD" w:rsidRPr="0097077A" w:rsidRDefault="002879BD" w:rsidP="0097077A">
      <w:pPr>
        <w:spacing w:line="360" w:lineRule="auto"/>
        <w:rPr>
          <w:b/>
          <w:bCs/>
          <w:sz w:val="22"/>
          <w:szCs w:val="22"/>
          <w:lang w:val="en-US"/>
        </w:rPr>
      </w:pPr>
    </w:p>
    <w:p w14:paraId="2B356A08" w14:textId="57BA5F07" w:rsidR="00DC1244" w:rsidRDefault="0097077A" w:rsidP="0097077A">
      <w:pPr>
        <w:spacing w:line="360" w:lineRule="auto"/>
        <w:contextualSpacing/>
      </w:pPr>
      <w:r>
        <w:rPr>
          <w:noProof/>
        </w:rPr>
        <w:drawing>
          <wp:inline distT="0" distB="0" distL="0" distR="0" wp14:anchorId="12860ABE" wp14:editId="4B96C731">
            <wp:extent cx="5396865" cy="2362835"/>
            <wp:effectExtent l="0" t="0" r="0" b="0"/>
            <wp:docPr id="18" name="Picture 1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96865" cy="2362835"/>
                    </a:xfrm>
                    <a:prstGeom prst="rect">
                      <a:avLst/>
                    </a:prstGeom>
                    <a:noFill/>
                    <a:ln>
                      <a:noFill/>
                    </a:ln>
                  </pic:spPr>
                </pic:pic>
              </a:graphicData>
            </a:graphic>
          </wp:inline>
        </w:drawing>
      </w:r>
      <w:r w:rsidR="002879BD" w:rsidRPr="002879BD">
        <w:t xml:space="preserve"> </w:t>
      </w:r>
      <w:r w:rsidR="002879BD">
        <w:rPr>
          <w:noProof/>
        </w:rPr>
        <w:drawing>
          <wp:inline distT="0" distB="0" distL="0" distR="0" wp14:anchorId="0F6C07A8" wp14:editId="78B520DB">
            <wp:extent cx="5396865" cy="2362835"/>
            <wp:effectExtent l="0" t="0" r="0" b="0"/>
            <wp:docPr id="19" name="Picture 1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 histogram&#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96865" cy="2362835"/>
                    </a:xfrm>
                    <a:prstGeom prst="rect">
                      <a:avLst/>
                    </a:prstGeom>
                    <a:noFill/>
                    <a:ln>
                      <a:noFill/>
                    </a:ln>
                  </pic:spPr>
                </pic:pic>
              </a:graphicData>
            </a:graphic>
          </wp:inline>
        </w:drawing>
      </w:r>
    </w:p>
    <w:p w14:paraId="23DC77EC" w14:textId="5BF14D2F" w:rsidR="002879BD" w:rsidRDefault="002879BD" w:rsidP="0097077A">
      <w:pPr>
        <w:spacing w:line="360" w:lineRule="auto"/>
        <w:contextualSpacing/>
      </w:pPr>
    </w:p>
    <w:p w14:paraId="532AE39B" w14:textId="6F8CBB46" w:rsidR="002879BD" w:rsidRPr="0097077A" w:rsidRDefault="002879BD" w:rsidP="0097077A">
      <w:pPr>
        <w:spacing w:line="360" w:lineRule="auto"/>
        <w:contextualSpacing/>
        <w:rPr>
          <w:color w:val="000000"/>
          <w:lang w:val="en-US"/>
        </w:rPr>
      </w:pPr>
      <w:r>
        <w:rPr>
          <w:noProof/>
        </w:rPr>
        <w:drawing>
          <wp:inline distT="0" distB="0" distL="0" distR="0" wp14:anchorId="5F9C90C7" wp14:editId="13AF5F8D">
            <wp:extent cx="5396865" cy="2362835"/>
            <wp:effectExtent l="0" t="0" r="0" b="0"/>
            <wp:docPr id="20" name="Picture 2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hart&#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96865" cy="2362835"/>
                    </a:xfrm>
                    <a:prstGeom prst="rect">
                      <a:avLst/>
                    </a:prstGeom>
                    <a:noFill/>
                    <a:ln>
                      <a:noFill/>
                    </a:ln>
                  </pic:spPr>
                </pic:pic>
              </a:graphicData>
            </a:graphic>
          </wp:inline>
        </w:drawing>
      </w:r>
      <w:r w:rsidRPr="002879BD">
        <w:t xml:space="preserve"> </w:t>
      </w:r>
      <w:r>
        <w:rPr>
          <w:noProof/>
        </w:rPr>
        <w:drawing>
          <wp:inline distT="0" distB="0" distL="0" distR="0" wp14:anchorId="3E03DCCF" wp14:editId="5393A825">
            <wp:extent cx="5396865" cy="2362835"/>
            <wp:effectExtent l="0" t="0" r="0" b="0"/>
            <wp:docPr id="21" name="Picture 2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396865" cy="2362835"/>
                    </a:xfrm>
                    <a:prstGeom prst="rect">
                      <a:avLst/>
                    </a:prstGeom>
                    <a:noFill/>
                    <a:ln>
                      <a:noFill/>
                    </a:ln>
                  </pic:spPr>
                </pic:pic>
              </a:graphicData>
            </a:graphic>
          </wp:inline>
        </w:drawing>
      </w:r>
    </w:p>
    <w:p w14:paraId="0953C972" w14:textId="77777777" w:rsidR="00DC1244" w:rsidRPr="00903BC1" w:rsidRDefault="00DC1244" w:rsidP="00DC1244">
      <w:pPr>
        <w:spacing w:line="360" w:lineRule="auto"/>
        <w:contextualSpacing/>
        <w:rPr>
          <w:color w:val="000000"/>
        </w:rPr>
      </w:pPr>
    </w:p>
    <w:p w14:paraId="038C8467" w14:textId="03D86FF4" w:rsidR="00E91B5B" w:rsidRDefault="00E91B5B" w:rsidP="00E91B5B">
      <w:pPr>
        <w:spacing w:line="360" w:lineRule="auto"/>
        <w:rPr>
          <w:b/>
          <w:bCs/>
          <w:sz w:val="22"/>
          <w:szCs w:val="22"/>
        </w:rPr>
      </w:pPr>
      <w:r w:rsidRPr="0097077A">
        <w:rPr>
          <w:b/>
          <w:bCs/>
          <w:lang w:val="en-US"/>
        </w:rPr>
        <w:t xml:space="preserve">Appendix </w:t>
      </w:r>
      <w:r>
        <w:rPr>
          <w:b/>
          <w:bCs/>
          <w:lang w:val="en-US"/>
        </w:rPr>
        <w:t>C</w:t>
      </w:r>
      <w:r w:rsidRPr="0097077A">
        <w:rPr>
          <w:b/>
          <w:bCs/>
          <w:lang w:val="en-US"/>
        </w:rPr>
        <w:t xml:space="preserve">. </w:t>
      </w:r>
      <w:r w:rsidR="00582EC7" w:rsidRPr="00582EC7">
        <w:rPr>
          <w:b/>
          <w:bCs/>
          <w:lang w:val="en-US"/>
        </w:rPr>
        <w:t>Unit root test for variables</w:t>
      </w:r>
    </w:p>
    <w:p w14:paraId="01881B20" w14:textId="77777777" w:rsidR="00273522" w:rsidRPr="00C81C2E" w:rsidRDefault="00273522" w:rsidP="00273522">
      <w:pPr>
        <w:pStyle w:val="References"/>
        <w:ind w:left="0" w:firstLine="0"/>
        <w:rPr>
          <w:rFonts w:cs="Arial"/>
          <w:kern w:val="32"/>
          <w:szCs w:val="32"/>
        </w:rPr>
      </w:pPr>
      <w:r w:rsidRPr="00C81C2E">
        <w:rPr>
          <w:rFonts w:cs="Arial"/>
          <w:b/>
          <w:bCs/>
          <w:kern w:val="32"/>
          <w:szCs w:val="32"/>
        </w:rPr>
        <w:t>Critical values:</w:t>
      </w:r>
      <w:r w:rsidRPr="00C81C2E">
        <w:rPr>
          <w:rFonts w:cs="Arial"/>
          <w:kern w:val="32"/>
          <w:szCs w:val="32"/>
        </w:rPr>
        <w:t xml:space="preserve"> "-3.51 at 0.01 level, -2.89 at 0.05 level, -2.58 at 0.1 level"</w:t>
      </w:r>
    </w:p>
    <w:p w14:paraId="5D854D46" w14:textId="77777777" w:rsidR="00273522" w:rsidRPr="00C81C2E" w:rsidRDefault="00273522" w:rsidP="00273522">
      <w:pPr>
        <w:spacing w:line="360" w:lineRule="auto"/>
        <w:rPr>
          <w:b/>
          <w:bCs/>
          <w:sz w:val="22"/>
          <w:szCs w:val="22"/>
        </w:rPr>
      </w:pPr>
    </w:p>
    <w:tbl>
      <w:tblPr>
        <w:tblW w:w="7969" w:type="dxa"/>
        <w:tblLook w:val="04A0" w:firstRow="1" w:lastRow="0" w:firstColumn="1" w:lastColumn="0" w:noHBand="0" w:noVBand="1"/>
      </w:tblPr>
      <w:tblGrid>
        <w:gridCol w:w="1520"/>
        <w:gridCol w:w="1296"/>
        <w:gridCol w:w="1280"/>
        <w:gridCol w:w="1283"/>
        <w:gridCol w:w="1310"/>
        <w:gridCol w:w="1280"/>
      </w:tblGrid>
      <w:tr w:rsidR="00273522" w:rsidRPr="00C81C2E" w14:paraId="0939CAA3" w14:textId="77777777" w:rsidTr="00273522">
        <w:trPr>
          <w:trHeight w:val="310"/>
        </w:trPr>
        <w:tc>
          <w:tcPr>
            <w:tcW w:w="1520" w:type="dxa"/>
            <w:tcBorders>
              <w:top w:val="nil"/>
              <w:left w:val="nil"/>
              <w:bottom w:val="single" w:sz="4" w:space="0" w:color="auto"/>
              <w:right w:val="single" w:sz="4" w:space="0" w:color="auto"/>
            </w:tcBorders>
            <w:shd w:val="clear" w:color="auto" w:fill="auto"/>
            <w:noWrap/>
            <w:vAlign w:val="bottom"/>
            <w:hideMark/>
          </w:tcPr>
          <w:p w14:paraId="5DF26E8A" w14:textId="77777777" w:rsidR="00273522" w:rsidRPr="00C81C2E" w:rsidRDefault="00273522" w:rsidP="008A7D96">
            <w:pPr>
              <w:spacing w:line="240" w:lineRule="auto"/>
              <w:rPr>
                <w:color w:val="000000"/>
              </w:rPr>
            </w:pPr>
            <w:r w:rsidRPr="00C81C2E">
              <w:rPr>
                <w:color w:val="000000"/>
              </w:rPr>
              <w:t> </w:t>
            </w:r>
          </w:p>
        </w:tc>
        <w:tc>
          <w:tcPr>
            <w:tcW w:w="1296" w:type="dxa"/>
            <w:tcBorders>
              <w:top w:val="single" w:sz="4" w:space="0" w:color="auto"/>
              <w:left w:val="nil"/>
              <w:bottom w:val="single" w:sz="4" w:space="0" w:color="auto"/>
              <w:right w:val="nil"/>
            </w:tcBorders>
            <w:shd w:val="clear" w:color="auto" w:fill="auto"/>
            <w:noWrap/>
            <w:vAlign w:val="bottom"/>
            <w:hideMark/>
          </w:tcPr>
          <w:p w14:paraId="38878FF5" w14:textId="77777777" w:rsidR="00273522" w:rsidRPr="00C81C2E" w:rsidRDefault="00273522" w:rsidP="008A7D96">
            <w:pPr>
              <w:spacing w:line="240" w:lineRule="auto"/>
              <w:rPr>
                <w:color w:val="000000"/>
              </w:rPr>
            </w:pPr>
            <w:proofErr w:type="spellStart"/>
            <w:r w:rsidRPr="00C81C2E">
              <w:rPr>
                <w:color w:val="000000"/>
              </w:rPr>
              <w:t>dstock_RO</w:t>
            </w:r>
            <w:proofErr w:type="spellEnd"/>
          </w:p>
        </w:tc>
        <w:tc>
          <w:tcPr>
            <w:tcW w:w="1280" w:type="dxa"/>
            <w:tcBorders>
              <w:top w:val="single" w:sz="4" w:space="0" w:color="auto"/>
              <w:left w:val="nil"/>
              <w:bottom w:val="single" w:sz="4" w:space="0" w:color="auto"/>
              <w:right w:val="nil"/>
            </w:tcBorders>
            <w:shd w:val="clear" w:color="auto" w:fill="auto"/>
            <w:noWrap/>
            <w:vAlign w:val="bottom"/>
            <w:hideMark/>
          </w:tcPr>
          <w:p w14:paraId="43AA6C17" w14:textId="77777777" w:rsidR="00273522" w:rsidRPr="00C81C2E" w:rsidRDefault="00273522" w:rsidP="008A7D96">
            <w:pPr>
              <w:spacing w:line="240" w:lineRule="auto"/>
              <w:rPr>
                <w:color w:val="000000"/>
              </w:rPr>
            </w:pPr>
            <w:proofErr w:type="spellStart"/>
            <w:r w:rsidRPr="00C81C2E">
              <w:rPr>
                <w:color w:val="000000"/>
              </w:rPr>
              <w:t>dstock_PO</w:t>
            </w:r>
            <w:proofErr w:type="spellEnd"/>
          </w:p>
        </w:tc>
        <w:tc>
          <w:tcPr>
            <w:tcW w:w="1283" w:type="dxa"/>
            <w:tcBorders>
              <w:top w:val="single" w:sz="4" w:space="0" w:color="auto"/>
              <w:left w:val="nil"/>
              <w:bottom w:val="single" w:sz="4" w:space="0" w:color="auto"/>
              <w:right w:val="nil"/>
            </w:tcBorders>
            <w:shd w:val="clear" w:color="auto" w:fill="auto"/>
            <w:noWrap/>
            <w:vAlign w:val="bottom"/>
            <w:hideMark/>
          </w:tcPr>
          <w:p w14:paraId="7C019022" w14:textId="77777777" w:rsidR="00273522" w:rsidRPr="00C81C2E" w:rsidRDefault="00273522" w:rsidP="008A7D96">
            <w:pPr>
              <w:spacing w:line="240" w:lineRule="auto"/>
              <w:rPr>
                <w:color w:val="000000"/>
              </w:rPr>
            </w:pPr>
            <w:proofErr w:type="spellStart"/>
            <w:r w:rsidRPr="00C81C2E">
              <w:rPr>
                <w:color w:val="000000"/>
              </w:rPr>
              <w:t>dstock_CZ</w:t>
            </w:r>
            <w:proofErr w:type="spellEnd"/>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150B3E8B" w14:textId="77777777" w:rsidR="00273522" w:rsidRPr="00C81C2E" w:rsidRDefault="00273522" w:rsidP="008A7D96">
            <w:pPr>
              <w:spacing w:line="240" w:lineRule="auto"/>
              <w:rPr>
                <w:color w:val="000000"/>
              </w:rPr>
            </w:pPr>
            <w:proofErr w:type="spellStart"/>
            <w:r w:rsidRPr="00C81C2E">
              <w:rPr>
                <w:color w:val="000000"/>
              </w:rPr>
              <w:t>dstock_HU</w:t>
            </w:r>
            <w:proofErr w:type="spellEnd"/>
          </w:p>
        </w:tc>
        <w:tc>
          <w:tcPr>
            <w:tcW w:w="1280" w:type="dxa"/>
            <w:tcBorders>
              <w:top w:val="nil"/>
              <w:left w:val="nil"/>
              <w:bottom w:val="nil"/>
              <w:right w:val="nil"/>
            </w:tcBorders>
            <w:shd w:val="clear" w:color="auto" w:fill="auto"/>
            <w:noWrap/>
            <w:vAlign w:val="bottom"/>
            <w:hideMark/>
          </w:tcPr>
          <w:p w14:paraId="6B6B2A11" w14:textId="77777777" w:rsidR="00273522" w:rsidRPr="00C81C2E" w:rsidRDefault="00273522" w:rsidP="008A7D96">
            <w:pPr>
              <w:spacing w:line="240" w:lineRule="auto"/>
              <w:rPr>
                <w:color w:val="000000"/>
              </w:rPr>
            </w:pPr>
          </w:p>
        </w:tc>
      </w:tr>
      <w:tr w:rsidR="00273522" w:rsidRPr="00C81C2E" w14:paraId="092B3277" w14:textId="77777777" w:rsidTr="00273522">
        <w:trPr>
          <w:trHeight w:val="310"/>
        </w:trPr>
        <w:tc>
          <w:tcPr>
            <w:tcW w:w="1520" w:type="dxa"/>
            <w:tcBorders>
              <w:top w:val="nil"/>
              <w:left w:val="single" w:sz="4" w:space="0" w:color="auto"/>
              <w:bottom w:val="single" w:sz="4" w:space="0" w:color="auto"/>
              <w:right w:val="single" w:sz="4" w:space="0" w:color="auto"/>
            </w:tcBorders>
            <w:shd w:val="clear" w:color="auto" w:fill="auto"/>
            <w:noWrap/>
            <w:vAlign w:val="bottom"/>
            <w:hideMark/>
          </w:tcPr>
          <w:p w14:paraId="091F7774" w14:textId="77777777" w:rsidR="00273522" w:rsidRPr="00C81C2E" w:rsidRDefault="00273522" w:rsidP="008A7D96">
            <w:pPr>
              <w:spacing w:line="240" w:lineRule="auto"/>
              <w:rPr>
                <w:color w:val="000000"/>
              </w:rPr>
            </w:pPr>
            <w:r w:rsidRPr="00C81C2E">
              <w:rPr>
                <w:color w:val="000000"/>
              </w:rPr>
              <w:t>t-value</w:t>
            </w:r>
          </w:p>
        </w:tc>
        <w:tc>
          <w:tcPr>
            <w:tcW w:w="1296" w:type="dxa"/>
            <w:tcBorders>
              <w:top w:val="nil"/>
              <w:left w:val="nil"/>
              <w:bottom w:val="single" w:sz="4" w:space="0" w:color="auto"/>
              <w:right w:val="nil"/>
            </w:tcBorders>
            <w:shd w:val="clear" w:color="auto" w:fill="auto"/>
            <w:noWrap/>
            <w:vAlign w:val="bottom"/>
            <w:hideMark/>
          </w:tcPr>
          <w:p w14:paraId="17366560" w14:textId="77777777" w:rsidR="00273522" w:rsidRPr="00C81C2E" w:rsidRDefault="00273522" w:rsidP="008A7D96">
            <w:pPr>
              <w:spacing w:line="240" w:lineRule="auto"/>
              <w:jc w:val="right"/>
              <w:rPr>
                <w:color w:val="000000"/>
              </w:rPr>
            </w:pPr>
            <w:r w:rsidRPr="00C81C2E">
              <w:rPr>
                <w:color w:val="000000"/>
              </w:rPr>
              <w:t>-7.1206</w:t>
            </w:r>
          </w:p>
        </w:tc>
        <w:tc>
          <w:tcPr>
            <w:tcW w:w="1280" w:type="dxa"/>
            <w:tcBorders>
              <w:top w:val="nil"/>
              <w:left w:val="nil"/>
              <w:bottom w:val="single" w:sz="4" w:space="0" w:color="auto"/>
              <w:right w:val="nil"/>
            </w:tcBorders>
            <w:shd w:val="clear" w:color="auto" w:fill="auto"/>
            <w:noWrap/>
            <w:vAlign w:val="bottom"/>
            <w:hideMark/>
          </w:tcPr>
          <w:p w14:paraId="1CDBCB40" w14:textId="77777777" w:rsidR="00273522" w:rsidRPr="00C81C2E" w:rsidRDefault="00273522" w:rsidP="008A7D96">
            <w:pPr>
              <w:spacing w:line="240" w:lineRule="auto"/>
              <w:jc w:val="right"/>
              <w:rPr>
                <w:color w:val="000000"/>
              </w:rPr>
            </w:pPr>
            <w:r w:rsidRPr="00C81C2E">
              <w:rPr>
                <w:color w:val="000000"/>
              </w:rPr>
              <w:t>-6.7737</w:t>
            </w:r>
          </w:p>
        </w:tc>
        <w:tc>
          <w:tcPr>
            <w:tcW w:w="1283" w:type="dxa"/>
            <w:tcBorders>
              <w:top w:val="nil"/>
              <w:left w:val="nil"/>
              <w:bottom w:val="single" w:sz="4" w:space="0" w:color="auto"/>
              <w:right w:val="nil"/>
            </w:tcBorders>
            <w:shd w:val="clear" w:color="auto" w:fill="auto"/>
            <w:noWrap/>
            <w:vAlign w:val="bottom"/>
            <w:hideMark/>
          </w:tcPr>
          <w:p w14:paraId="371112A5" w14:textId="77777777" w:rsidR="00273522" w:rsidRPr="00C81C2E" w:rsidRDefault="00273522" w:rsidP="008A7D96">
            <w:pPr>
              <w:spacing w:line="240" w:lineRule="auto"/>
              <w:jc w:val="right"/>
              <w:rPr>
                <w:color w:val="000000"/>
              </w:rPr>
            </w:pPr>
            <w:r w:rsidRPr="00C81C2E">
              <w:rPr>
                <w:color w:val="000000"/>
              </w:rPr>
              <w:t>-7.403</w:t>
            </w:r>
          </w:p>
        </w:tc>
        <w:tc>
          <w:tcPr>
            <w:tcW w:w="1310" w:type="dxa"/>
            <w:tcBorders>
              <w:top w:val="nil"/>
              <w:left w:val="nil"/>
              <w:bottom w:val="single" w:sz="4" w:space="0" w:color="auto"/>
              <w:right w:val="single" w:sz="4" w:space="0" w:color="auto"/>
            </w:tcBorders>
            <w:shd w:val="clear" w:color="auto" w:fill="auto"/>
            <w:noWrap/>
            <w:vAlign w:val="bottom"/>
            <w:hideMark/>
          </w:tcPr>
          <w:p w14:paraId="4CE4BAE7" w14:textId="77777777" w:rsidR="00273522" w:rsidRPr="00C81C2E" w:rsidRDefault="00273522" w:rsidP="008A7D96">
            <w:pPr>
              <w:spacing w:line="240" w:lineRule="auto"/>
              <w:jc w:val="right"/>
              <w:rPr>
                <w:color w:val="000000"/>
              </w:rPr>
            </w:pPr>
            <w:r w:rsidRPr="00C81C2E">
              <w:rPr>
                <w:color w:val="000000"/>
              </w:rPr>
              <w:t>-8.1953</w:t>
            </w:r>
          </w:p>
        </w:tc>
        <w:tc>
          <w:tcPr>
            <w:tcW w:w="1280" w:type="dxa"/>
            <w:tcBorders>
              <w:top w:val="nil"/>
              <w:left w:val="nil"/>
              <w:bottom w:val="nil"/>
              <w:right w:val="nil"/>
            </w:tcBorders>
            <w:shd w:val="clear" w:color="auto" w:fill="auto"/>
            <w:noWrap/>
            <w:vAlign w:val="bottom"/>
            <w:hideMark/>
          </w:tcPr>
          <w:p w14:paraId="7DE3045C" w14:textId="77777777" w:rsidR="00273522" w:rsidRPr="00C81C2E" w:rsidRDefault="00273522" w:rsidP="008A7D96">
            <w:pPr>
              <w:spacing w:line="240" w:lineRule="auto"/>
              <w:jc w:val="right"/>
              <w:rPr>
                <w:color w:val="000000"/>
              </w:rPr>
            </w:pPr>
          </w:p>
        </w:tc>
      </w:tr>
      <w:tr w:rsidR="00273522" w:rsidRPr="00C81C2E" w14:paraId="62E92004" w14:textId="77777777" w:rsidTr="00273522">
        <w:trPr>
          <w:trHeight w:val="310"/>
        </w:trPr>
        <w:tc>
          <w:tcPr>
            <w:tcW w:w="1520" w:type="dxa"/>
            <w:tcBorders>
              <w:top w:val="nil"/>
              <w:left w:val="nil"/>
              <w:bottom w:val="single" w:sz="4" w:space="0" w:color="auto"/>
              <w:right w:val="single" w:sz="4" w:space="0" w:color="auto"/>
            </w:tcBorders>
            <w:shd w:val="clear" w:color="auto" w:fill="auto"/>
            <w:noWrap/>
            <w:vAlign w:val="bottom"/>
            <w:hideMark/>
          </w:tcPr>
          <w:p w14:paraId="593BA837" w14:textId="77777777" w:rsidR="00273522" w:rsidRPr="00C81C2E" w:rsidRDefault="00273522" w:rsidP="008A7D96">
            <w:pPr>
              <w:spacing w:line="240" w:lineRule="auto"/>
              <w:rPr>
                <w:color w:val="000000"/>
              </w:rPr>
            </w:pPr>
            <w:r w:rsidRPr="00C81C2E">
              <w:rPr>
                <w:color w:val="000000"/>
              </w:rPr>
              <w:t> </w:t>
            </w:r>
          </w:p>
        </w:tc>
        <w:tc>
          <w:tcPr>
            <w:tcW w:w="1296" w:type="dxa"/>
            <w:tcBorders>
              <w:top w:val="single" w:sz="4" w:space="0" w:color="auto"/>
              <w:left w:val="nil"/>
              <w:bottom w:val="single" w:sz="4" w:space="0" w:color="auto"/>
              <w:right w:val="nil"/>
            </w:tcBorders>
            <w:shd w:val="clear" w:color="auto" w:fill="auto"/>
            <w:noWrap/>
            <w:vAlign w:val="bottom"/>
            <w:hideMark/>
          </w:tcPr>
          <w:p w14:paraId="60B12D88" w14:textId="77777777" w:rsidR="00273522" w:rsidRPr="00C81C2E" w:rsidRDefault="00273522" w:rsidP="008A7D96">
            <w:pPr>
              <w:spacing w:line="240" w:lineRule="auto"/>
              <w:rPr>
                <w:color w:val="000000"/>
              </w:rPr>
            </w:pPr>
            <w:r w:rsidRPr="00C81C2E">
              <w:rPr>
                <w:color w:val="000000"/>
              </w:rPr>
              <w:t>HICP_PO</w:t>
            </w:r>
          </w:p>
        </w:tc>
        <w:tc>
          <w:tcPr>
            <w:tcW w:w="1280" w:type="dxa"/>
            <w:tcBorders>
              <w:top w:val="single" w:sz="4" w:space="0" w:color="auto"/>
              <w:left w:val="nil"/>
              <w:bottom w:val="single" w:sz="4" w:space="0" w:color="auto"/>
              <w:right w:val="nil"/>
            </w:tcBorders>
            <w:shd w:val="clear" w:color="auto" w:fill="auto"/>
            <w:noWrap/>
            <w:vAlign w:val="bottom"/>
            <w:hideMark/>
          </w:tcPr>
          <w:p w14:paraId="082C954C" w14:textId="77777777" w:rsidR="00273522" w:rsidRPr="00C81C2E" w:rsidRDefault="00273522" w:rsidP="008A7D96">
            <w:pPr>
              <w:spacing w:line="240" w:lineRule="auto"/>
              <w:rPr>
                <w:color w:val="000000"/>
              </w:rPr>
            </w:pPr>
            <w:r w:rsidRPr="00C81C2E">
              <w:rPr>
                <w:color w:val="000000"/>
              </w:rPr>
              <w:t>HICP_RO</w:t>
            </w:r>
          </w:p>
        </w:tc>
        <w:tc>
          <w:tcPr>
            <w:tcW w:w="1283" w:type="dxa"/>
            <w:tcBorders>
              <w:top w:val="single" w:sz="4" w:space="0" w:color="auto"/>
              <w:left w:val="nil"/>
              <w:bottom w:val="single" w:sz="4" w:space="0" w:color="auto"/>
              <w:right w:val="nil"/>
            </w:tcBorders>
            <w:shd w:val="clear" w:color="auto" w:fill="auto"/>
            <w:noWrap/>
            <w:vAlign w:val="bottom"/>
            <w:hideMark/>
          </w:tcPr>
          <w:p w14:paraId="316844C0" w14:textId="77777777" w:rsidR="00273522" w:rsidRPr="00C81C2E" w:rsidRDefault="00273522" w:rsidP="008A7D96">
            <w:pPr>
              <w:spacing w:line="240" w:lineRule="auto"/>
              <w:rPr>
                <w:color w:val="000000"/>
              </w:rPr>
            </w:pPr>
            <w:r w:rsidRPr="00C81C2E">
              <w:rPr>
                <w:color w:val="000000"/>
              </w:rPr>
              <w:t xml:space="preserve">HICP_CZ </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24F6BBAC" w14:textId="77777777" w:rsidR="00273522" w:rsidRPr="00C81C2E" w:rsidRDefault="00273522" w:rsidP="008A7D96">
            <w:pPr>
              <w:spacing w:line="240" w:lineRule="auto"/>
              <w:rPr>
                <w:color w:val="000000"/>
              </w:rPr>
            </w:pPr>
            <w:r w:rsidRPr="00C81C2E">
              <w:rPr>
                <w:color w:val="000000"/>
              </w:rPr>
              <w:t xml:space="preserve">HICP_HU </w:t>
            </w:r>
          </w:p>
        </w:tc>
        <w:tc>
          <w:tcPr>
            <w:tcW w:w="1280" w:type="dxa"/>
            <w:tcBorders>
              <w:top w:val="nil"/>
              <w:left w:val="nil"/>
              <w:bottom w:val="nil"/>
              <w:right w:val="nil"/>
            </w:tcBorders>
            <w:shd w:val="clear" w:color="auto" w:fill="auto"/>
            <w:noWrap/>
            <w:vAlign w:val="bottom"/>
            <w:hideMark/>
          </w:tcPr>
          <w:p w14:paraId="288A764D" w14:textId="77777777" w:rsidR="00273522" w:rsidRPr="00C81C2E" w:rsidRDefault="00273522" w:rsidP="008A7D96">
            <w:pPr>
              <w:spacing w:line="240" w:lineRule="auto"/>
              <w:rPr>
                <w:color w:val="000000"/>
              </w:rPr>
            </w:pPr>
          </w:p>
        </w:tc>
      </w:tr>
      <w:tr w:rsidR="00273522" w:rsidRPr="00C81C2E" w14:paraId="17EBD17E" w14:textId="77777777" w:rsidTr="00273522">
        <w:trPr>
          <w:trHeight w:val="310"/>
        </w:trPr>
        <w:tc>
          <w:tcPr>
            <w:tcW w:w="1520" w:type="dxa"/>
            <w:tcBorders>
              <w:top w:val="nil"/>
              <w:left w:val="single" w:sz="4" w:space="0" w:color="auto"/>
              <w:bottom w:val="single" w:sz="4" w:space="0" w:color="auto"/>
              <w:right w:val="single" w:sz="4" w:space="0" w:color="auto"/>
            </w:tcBorders>
            <w:shd w:val="clear" w:color="auto" w:fill="auto"/>
            <w:noWrap/>
            <w:vAlign w:val="bottom"/>
            <w:hideMark/>
          </w:tcPr>
          <w:p w14:paraId="247E3490" w14:textId="77777777" w:rsidR="00273522" w:rsidRPr="00C81C2E" w:rsidRDefault="00273522" w:rsidP="008A7D96">
            <w:pPr>
              <w:spacing w:line="240" w:lineRule="auto"/>
              <w:rPr>
                <w:color w:val="000000"/>
              </w:rPr>
            </w:pPr>
            <w:r w:rsidRPr="00C81C2E">
              <w:rPr>
                <w:color w:val="000000"/>
              </w:rPr>
              <w:t>t-value</w:t>
            </w:r>
          </w:p>
        </w:tc>
        <w:tc>
          <w:tcPr>
            <w:tcW w:w="1296" w:type="dxa"/>
            <w:tcBorders>
              <w:top w:val="nil"/>
              <w:left w:val="nil"/>
              <w:bottom w:val="single" w:sz="4" w:space="0" w:color="auto"/>
              <w:right w:val="nil"/>
            </w:tcBorders>
            <w:shd w:val="clear" w:color="auto" w:fill="auto"/>
            <w:noWrap/>
            <w:vAlign w:val="bottom"/>
            <w:hideMark/>
          </w:tcPr>
          <w:p w14:paraId="18B33C80" w14:textId="77777777" w:rsidR="00273522" w:rsidRPr="00C81C2E" w:rsidRDefault="00273522" w:rsidP="008A7D96">
            <w:pPr>
              <w:spacing w:line="240" w:lineRule="auto"/>
              <w:jc w:val="right"/>
              <w:rPr>
                <w:color w:val="000000"/>
              </w:rPr>
            </w:pPr>
            <w:r w:rsidRPr="00C81C2E">
              <w:rPr>
                <w:color w:val="000000"/>
              </w:rPr>
              <w:t>-7.5018</w:t>
            </w:r>
          </w:p>
        </w:tc>
        <w:tc>
          <w:tcPr>
            <w:tcW w:w="1280" w:type="dxa"/>
            <w:tcBorders>
              <w:top w:val="nil"/>
              <w:left w:val="nil"/>
              <w:bottom w:val="single" w:sz="4" w:space="0" w:color="auto"/>
              <w:right w:val="nil"/>
            </w:tcBorders>
            <w:shd w:val="clear" w:color="auto" w:fill="auto"/>
            <w:noWrap/>
            <w:vAlign w:val="bottom"/>
            <w:hideMark/>
          </w:tcPr>
          <w:p w14:paraId="2F24B937" w14:textId="77777777" w:rsidR="00273522" w:rsidRPr="00C81C2E" w:rsidRDefault="00273522" w:rsidP="008A7D96">
            <w:pPr>
              <w:spacing w:line="240" w:lineRule="auto"/>
              <w:jc w:val="right"/>
              <w:rPr>
                <w:color w:val="000000"/>
              </w:rPr>
            </w:pPr>
            <w:r w:rsidRPr="00C81C2E">
              <w:rPr>
                <w:color w:val="000000"/>
              </w:rPr>
              <w:t>-5.1911</w:t>
            </w:r>
          </w:p>
        </w:tc>
        <w:tc>
          <w:tcPr>
            <w:tcW w:w="1283" w:type="dxa"/>
            <w:tcBorders>
              <w:top w:val="nil"/>
              <w:left w:val="nil"/>
              <w:bottom w:val="single" w:sz="4" w:space="0" w:color="auto"/>
              <w:right w:val="nil"/>
            </w:tcBorders>
            <w:shd w:val="clear" w:color="auto" w:fill="auto"/>
            <w:noWrap/>
            <w:vAlign w:val="bottom"/>
            <w:hideMark/>
          </w:tcPr>
          <w:p w14:paraId="2EE24E18" w14:textId="77777777" w:rsidR="00273522" w:rsidRPr="00C81C2E" w:rsidRDefault="00273522" w:rsidP="008A7D96">
            <w:pPr>
              <w:spacing w:line="240" w:lineRule="auto"/>
              <w:jc w:val="right"/>
              <w:rPr>
                <w:color w:val="000000"/>
              </w:rPr>
            </w:pPr>
            <w:r w:rsidRPr="00C81C2E">
              <w:rPr>
                <w:color w:val="000000"/>
              </w:rPr>
              <w:t>-7.1365</w:t>
            </w:r>
          </w:p>
        </w:tc>
        <w:tc>
          <w:tcPr>
            <w:tcW w:w="1310" w:type="dxa"/>
            <w:tcBorders>
              <w:top w:val="nil"/>
              <w:left w:val="nil"/>
              <w:bottom w:val="single" w:sz="4" w:space="0" w:color="auto"/>
              <w:right w:val="single" w:sz="4" w:space="0" w:color="auto"/>
            </w:tcBorders>
            <w:shd w:val="clear" w:color="auto" w:fill="auto"/>
            <w:noWrap/>
            <w:vAlign w:val="bottom"/>
            <w:hideMark/>
          </w:tcPr>
          <w:p w14:paraId="7594EFE5" w14:textId="77777777" w:rsidR="00273522" w:rsidRPr="00C81C2E" w:rsidRDefault="00273522" w:rsidP="008A7D96">
            <w:pPr>
              <w:spacing w:line="240" w:lineRule="auto"/>
              <w:jc w:val="right"/>
              <w:rPr>
                <w:color w:val="000000"/>
              </w:rPr>
            </w:pPr>
            <w:r w:rsidRPr="00C81C2E">
              <w:rPr>
                <w:color w:val="000000"/>
              </w:rPr>
              <w:t>-7.5245</w:t>
            </w:r>
          </w:p>
        </w:tc>
        <w:tc>
          <w:tcPr>
            <w:tcW w:w="1280" w:type="dxa"/>
            <w:tcBorders>
              <w:top w:val="nil"/>
              <w:left w:val="nil"/>
              <w:bottom w:val="nil"/>
              <w:right w:val="nil"/>
            </w:tcBorders>
            <w:shd w:val="clear" w:color="auto" w:fill="auto"/>
            <w:noWrap/>
            <w:vAlign w:val="bottom"/>
            <w:hideMark/>
          </w:tcPr>
          <w:p w14:paraId="6DC41F25" w14:textId="77777777" w:rsidR="00273522" w:rsidRPr="00C81C2E" w:rsidRDefault="00273522" w:rsidP="008A7D96">
            <w:pPr>
              <w:spacing w:line="240" w:lineRule="auto"/>
              <w:jc w:val="right"/>
              <w:rPr>
                <w:color w:val="000000"/>
              </w:rPr>
            </w:pPr>
          </w:p>
        </w:tc>
      </w:tr>
      <w:tr w:rsidR="00273522" w:rsidRPr="00C81C2E" w14:paraId="50C480F4" w14:textId="77777777" w:rsidTr="00273522">
        <w:trPr>
          <w:trHeight w:val="310"/>
        </w:trPr>
        <w:tc>
          <w:tcPr>
            <w:tcW w:w="1520" w:type="dxa"/>
            <w:tcBorders>
              <w:top w:val="nil"/>
              <w:left w:val="nil"/>
              <w:bottom w:val="single" w:sz="4" w:space="0" w:color="auto"/>
              <w:right w:val="single" w:sz="4" w:space="0" w:color="auto"/>
            </w:tcBorders>
            <w:shd w:val="clear" w:color="auto" w:fill="auto"/>
            <w:noWrap/>
            <w:vAlign w:val="bottom"/>
            <w:hideMark/>
          </w:tcPr>
          <w:p w14:paraId="4CD09CC6" w14:textId="77777777" w:rsidR="00273522" w:rsidRPr="00C81C2E" w:rsidRDefault="00273522" w:rsidP="008A7D96">
            <w:pPr>
              <w:spacing w:line="240" w:lineRule="auto"/>
              <w:rPr>
                <w:color w:val="000000"/>
              </w:rPr>
            </w:pPr>
            <w:r w:rsidRPr="00C81C2E">
              <w:rPr>
                <w:color w:val="000000"/>
              </w:rPr>
              <w:t> </w:t>
            </w:r>
          </w:p>
        </w:tc>
        <w:tc>
          <w:tcPr>
            <w:tcW w:w="1296" w:type="dxa"/>
            <w:tcBorders>
              <w:top w:val="single" w:sz="4" w:space="0" w:color="auto"/>
              <w:left w:val="nil"/>
              <w:bottom w:val="single" w:sz="4" w:space="0" w:color="auto"/>
              <w:right w:val="nil"/>
            </w:tcBorders>
            <w:shd w:val="clear" w:color="auto" w:fill="auto"/>
            <w:noWrap/>
            <w:vAlign w:val="bottom"/>
            <w:hideMark/>
          </w:tcPr>
          <w:p w14:paraId="7A1B3523" w14:textId="77777777" w:rsidR="00273522" w:rsidRPr="00C81C2E" w:rsidRDefault="00273522" w:rsidP="008A7D96">
            <w:pPr>
              <w:spacing w:line="240" w:lineRule="auto"/>
              <w:rPr>
                <w:color w:val="000000"/>
              </w:rPr>
            </w:pPr>
            <w:proofErr w:type="spellStart"/>
            <w:r w:rsidRPr="00C81C2E">
              <w:rPr>
                <w:color w:val="000000"/>
              </w:rPr>
              <w:t>dGDP_RO</w:t>
            </w:r>
            <w:proofErr w:type="spellEnd"/>
          </w:p>
        </w:tc>
        <w:tc>
          <w:tcPr>
            <w:tcW w:w="1280" w:type="dxa"/>
            <w:tcBorders>
              <w:top w:val="single" w:sz="4" w:space="0" w:color="auto"/>
              <w:left w:val="nil"/>
              <w:bottom w:val="single" w:sz="4" w:space="0" w:color="auto"/>
              <w:right w:val="nil"/>
            </w:tcBorders>
            <w:shd w:val="clear" w:color="auto" w:fill="auto"/>
            <w:noWrap/>
            <w:vAlign w:val="bottom"/>
            <w:hideMark/>
          </w:tcPr>
          <w:p w14:paraId="00D27E6C" w14:textId="77777777" w:rsidR="00273522" w:rsidRPr="00C81C2E" w:rsidRDefault="00273522" w:rsidP="008A7D96">
            <w:pPr>
              <w:spacing w:line="240" w:lineRule="auto"/>
              <w:rPr>
                <w:color w:val="000000"/>
              </w:rPr>
            </w:pPr>
            <w:proofErr w:type="spellStart"/>
            <w:r w:rsidRPr="00C81C2E">
              <w:rPr>
                <w:color w:val="000000"/>
              </w:rPr>
              <w:t>dGDP_CZ</w:t>
            </w:r>
            <w:proofErr w:type="spellEnd"/>
          </w:p>
        </w:tc>
        <w:tc>
          <w:tcPr>
            <w:tcW w:w="1283" w:type="dxa"/>
            <w:tcBorders>
              <w:top w:val="single" w:sz="4" w:space="0" w:color="auto"/>
              <w:left w:val="nil"/>
              <w:bottom w:val="single" w:sz="4" w:space="0" w:color="auto"/>
              <w:right w:val="nil"/>
            </w:tcBorders>
            <w:shd w:val="clear" w:color="auto" w:fill="auto"/>
            <w:noWrap/>
            <w:vAlign w:val="bottom"/>
            <w:hideMark/>
          </w:tcPr>
          <w:p w14:paraId="2648AEB5" w14:textId="77777777" w:rsidR="00273522" w:rsidRPr="00C81C2E" w:rsidRDefault="00273522" w:rsidP="008A7D96">
            <w:pPr>
              <w:spacing w:line="240" w:lineRule="auto"/>
              <w:rPr>
                <w:color w:val="000000"/>
              </w:rPr>
            </w:pPr>
            <w:proofErr w:type="spellStart"/>
            <w:r w:rsidRPr="00C81C2E">
              <w:rPr>
                <w:color w:val="000000"/>
              </w:rPr>
              <w:t>dGDP_HU</w:t>
            </w:r>
            <w:proofErr w:type="spellEnd"/>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6D3A8486" w14:textId="77777777" w:rsidR="00273522" w:rsidRPr="00C81C2E" w:rsidRDefault="00273522" w:rsidP="008A7D96">
            <w:pPr>
              <w:spacing w:line="240" w:lineRule="auto"/>
              <w:rPr>
                <w:color w:val="000000"/>
              </w:rPr>
            </w:pPr>
            <w:proofErr w:type="spellStart"/>
            <w:r w:rsidRPr="00C81C2E">
              <w:rPr>
                <w:color w:val="000000"/>
              </w:rPr>
              <w:t>dGDP_PO</w:t>
            </w:r>
            <w:proofErr w:type="spellEnd"/>
          </w:p>
        </w:tc>
        <w:tc>
          <w:tcPr>
            <w:tcW w:w="1280" w:type="dxa"/>
            <w:tcBorders>
              <w:top w:val="nil"/>
              <w:left w:val="nil"/>
              <w:bottom w:val="nil"/>
              <w:right w:val="nil"/>
            </w:tcBorders>
            <w:shd w:val="clear" w:color="auto" w:fill="auto"/>
            <w:noWrap/>
            <w:vAlign w:val="bottom"/>
            <w:hideMark/>
          </w:tcPr>
          <w:p w14:paraId="78FB038F" w14:textId="77777777" w:rsidR="00273522" w:rsidRPr="00C81C2E" w:rsidRDefault="00273522" w:rsidP="008A7D96">
            <w:pPr>
              <w:spacing w:line="240" w:lineRule="auto"/>
              <w:rPr>
                <w:color w:val="000000"/>
              </w:rPr>
            </w:pPr>
          </w:p>
        </w:tc>
      </w:tr>
      <w:tr w:rsidR="00273522" w:rsidRPr="00C81C2E" w14:paraId="0447D233" w14:textId="77777777" w:rsidTr="00273522">
        <w:trPr>
          <w:trHeight w:val="310"/>
        </w:trPr>
        <w:tc>
          <w:tcPr>
            <w:tcW w:w="1520" w:type="dxa"/>
            <w:tcBorders>
              <w:top w:val="nil"/>
              <w:left w:val="single" w:sz="4" w:space="0" w:color="auto"/>
              <w:bottom w:val="single" w:sz="4" w:space="0" w:color="auto"/>
              <w:right w:val="single" w:sz="4" w:space="0" w:color="auto"/>
            </w:tcBorders>
            <w:shd w:val="clear" w:color="auto" w:fill="auto"/>
            <w:noWrap/>
            <w:vAlign w:val="bottom"/>
            <w:hideMark/>
          </w:tcPr>
          <w:p w14:paraId="1D940229" w14:textId="77777777" w:rsidR="00273522" w:rsidRPr="00C81C2E" w:rsidRDefault="00273522" w:rsidP="008A7D96">
            <w:pPr>
              <w:spacing w:line="240" w:lineRule="auto"/>
              <w:rPr>
                <w:color w:val="000000"/>
              </w:rPr>
            </w:pPr>
            <w:r w:rsidRPr="00C81C2E">
              <w:rPr>
                <w:color w:val="000000"/>
              </w:rPr>
              <w:t>t-value</w:t>
            </w:r>
          </w:p>
        </w:tc>
        <w:tc>
          <w:tcPr>
            <w:tcW w:w="1296" w:type="dxa"/>
            <w:tcBorders>
              <w:top w:val="nil"/>
              <w:left w:val="nil"/>
              <w:bottom w:val="single" w:sz="4" w:space="0" w:color="auto"/>
              <w:right w:val="nil"/>
            </w:tcBorders>
            <w:shd w:val="clear" w:color="auto" w:fill="auto"/>
            <w:noWrap/>
            <w:vAlign w:val="bottom"/>
            <w:hideMark/>
          </w:tcPr>
          <w:p w14:paraId="5223997D" w14:textId="77777777" w:rsidR="00273522" w:rsidRPr="00C81C2E" w:rsidRDefault="00273522" w:rsidP="008A7D96">
            <w:pPr>
              <w:spacing w:line="240" w:lineRule="auto"/>
              <w:jc w:val="right"/>
              <w:rPr>
                <w:color w:val="000000"/>
              </w:rPr>
            </w:pPr>
            <w:r w:rsidRPr="00C81C2E">
              <w:rPr>
                <w:color w:val="000000"/>
              </w:rPr>
              <w:t>-10.8456</w:t>
            </w:r>
          </w:p>
        </w:tc>
        <w:tc>
          <w:tcPr>
            <w:tcW w:w="1280" w:type="dxa"/>
            <w:tcBorders>
              <w:top w:val="nil"/>
              <w:left w:val="nil"/>
              <w:bottom w:val="single" w:sz="4" w:space="0" w:color="auto"/>
              <w:right w:val="nil"/>
            </w:tcBorders>
            <w:shd w:val="clear" w:color="auto" w:fill="auto"/>
            <w:noWrap/>
            <w:vAlign w:val="bottom"/>
            <w:hideMark/>
          </w:tcPr>
          <w:p w14:paraId="3AC42BE6" w14:textId="77777777" w:rsidR="00273522" w:rsidRPr="00C81C2E" w:rsidRDefault="00273522" w:rsidP="008A7D96">
            <w:pPr>
              <w:spacing w:line="240" w:lineRule="auto"/>
              <w:jc w:val="right"/>
              <w:rPr>
                <w:color w:val="000000"/>
              </w:rPr>
            </w:pPr>
            <w:r w:rsidRPr="00C81C2E">
              <w:rPr>
                <w:color w:val="000000"/>
              </w:rPr>
              <w:t>-12.653</w:t>
            </w:r>
          </w:p>
        </w:tc>
        <w:tc>
          <w:tcPr>
            <w:tcW w:w="1283" w:type="dxa"/>
            <w:tcBorders>
              <w:top w:val="nil"/>
              <w:left w:val="nil"/>
              <w:bottom w:val="single" w:sz="4" w:space="0" w:color="auto"/>
              <w:right w:val="nil"/>
            </w:tcBorders>
            <w:shd w:val="clear" w:color="auto" w:fill="auto"/>
            <w:noWrap/>
            <w:vAlign w:val="bottom"/>
            <w:hideMark/>
          </w:tcPr>
          <w:p w14:paraId="12D4E814" w14:textId="77777777" w:rsidR="00273522" w:rsidRPr="00C81C2E" w:rsidRDefault="00273522" w:rsidP="008A7D96">
            <w:pPr>
              <w:spacing w:line="240" w:lineRule="auto"/>
              <w:jc w:val="right"/>
              <w:rPr>
                <w:color w:val="000000"/>
              </w:rPr>
            </w:pPr>
            <w:r w:rsidRPr="00C81C2E">
              <w:rPr>
                <w:color w:val="000000"/>
              </w:rPr>
              <w:t>-14.2686</w:t>
            </w:r>
          </w:p>
        </w:tc>
        <w:tc>
          <w:tcPr>
            <w:tcW w:w="1310" w:type="dxa"/>
            <w:tcBorders>
              <w:top w:val="nil"/>
              <w:left w:val="nil"/>
              <w:bottom w:val="single" w:sz="4" w:space="0" w:color="auto"/>
              <w:right w:val="single" w:sz="4" w:space="0" w:color="auto"/>
            </w:tcBorders>
            <w:shd w:val="clear" w:color="auto" w:fill="auto"/>
            <w:noWrap/>
            <w:vAlign w:val="bottom"/>
            <w:hideMark/>
          </w:tcPr>
          <w:p w14:paraId="5852F34F" w14:textId="77777777" w:rsidR="00273522" w:rsidRPr="00C81C2E" w:rsidRDefault="00273522" w:rsidP="008A7D96">
            <w:pPr>
              <w:spacing w:line="240" w:lineRule="auto"/>
              <w:jc w:val="right"/>
              <w:rPr>
                <w:color w:val="000000"/>
              </w:rPr>
            </w:pPr>
            <w:r w:rsidRPr="00C81C2E">
              <w:rPr>
                <w:color w:val="000000"/>
              </w:rPr>
              <w:t>-13.7213</w:t>
            </w:r>
          </w:p>
        </w:tc>
        <w:tc>
          <w:tcPr>
            <w:tcW w:w="1280" w:type="dxa"/>
            <w:tcBorders>
              <w:top w:val="nil"/>
              <w:left w:val="nil"/>
              <w:bottom w:val="nil"/>
              <w:right w:val="nil"/>
            </w:tcBorders>
            <w:shd w:val="clear" w:color="auto" w:fill="auto"/>
            <w:noWrap/>
            <w:vAlign w:val="bottom"/>
            <w:hideMark/>
          </w:tcPr>
          <w:p w14:paraId="014D0F12" w14:textId="77777777" w:rsidR="00273522" w:rsidRPr="00C81C2E" w:rsidRDefault="00273522" w:rsidP="008A7D96">
            <w:pPr>
              <w:spacing w:line="240" w:lineRule="auto"/>
              <w:jc w:val="right"/>
              <w:rPr>
                <w:color w:val="000000"/>
              </w:rPr>
            </w:pPr>
          </w:p>
        </w:tc>
      </w:tr>
      <w:tr w:rsidR="00273522" w:rsidRPr="00C81C2E" w14:paraId="562C716D" w14:textId="77777777" w:rsidTr="00273522">
        <w:trPr>
          <w:trHeight w:val="310"/>
        </w:trPr>
        <w:tc>
          <w:tcPr>
            <w:tcW w:w="1520" w:type="dxa"/>
            <w:tcBorders>
              <w:top w:val="nil"/>
              <w:left w:val="nil"/>
              <w:bottom w:val="single" w:sz="4" w:space="0" w:color="auto"/>
              <w:right w:val="single" w:sz="4" w:space="0" w:color="auto"/>
            </w:tcBorders>
            <w:shd w:val="clear" w:color="auto" w:fill="auto"/>
            <w:noWrap/>
            <w:vAlign w:val="bottom"/>
            <w:hideMark/>
          </w:tcPr>
          <w:p w14:paraId="5257ABE5" w14:textId="77777777" w:rsidR="00273522" w:rsidRPr="00C81C2E" w:rsidRDefault="00273522" w:rsidP="008A7D96">
            <w:pPr>
              <w:spacing w:line="240" w:lineRule="auto"/>
              <w:rPr>
                <w:color w:val="000000"/>
              </w:rPr>
            </w:pPr>
            <w:r w:rsidRPr="00C81C2E">
              <w:rPr>
                <w:color w:val="000000"/>
              </w:rPr>
              <w:t> </w:t>
            </w:r>
          </w:p>
        </w:tc>
        <w:tc>
          <w:tcPr>
            <w:tcW w:w="1296" w:type="dxa"/>
            <w:tcBorders>
              <w:top w:val="single" w:sz="4" w:space="0" w:color="auto"/>
              <w:left w:val="nil"/>
              <w:bottom w:val="single" w:sz="4" w:space="0" w:color="auto"/>
              <w:right w:val="nil"/>
            </w:tcBorders>
            <w:shd w:val="clear" w:color="auto" w:fill="auto"/>
            <w:noWrap/>
            <w:vAlign w:val="bottom"/>
            <w:hideMark/>
          </w:tcPr>
          <w:p w14:paraId="086A4C77" w14:textId="77777777" w:rsidR="00273522" w:rsidRPr="00C81C2E" w:rsidRDefault="00273522" w:rsidP="008A7D96">
            <w:pPr>
              <w:spacing w:line="240" w:lineRule="auto"/>
              <w:rPr>
                <w:color w:val="000000"/>
              </w:rPr>
            </w:pPr>
            <w:proofErr w:type="spellStart"/>
            <w:r w:rsidRPr="00C81C2E">
              <w:rPr>
                <w:color w:val="000000"/>
              </w:rPr>
              <w:t>di_RO</w:t>
            </w:r>
            <w:proofErr w:type="spellEnd"/>
          </w:p>
        </w:tc>
        <w:tc>
          <w:tcPr>
            <w:tcW w:w="1280" w:type="dxa"/>
            <w:tcBorders>
              <w:top w:val="single" w:sz="4" w:space="0" w:color="auto"/>
              <w:left w:val="nil"/>
              <w:bottom w:val="single" w:sz="4" w:space="0" w:color="auto"/>
              <w:right w:val="nil"/>
            </w:tcBorders>
            <w:shd w:val="clear" w:color="auto" w:fill="auto"/>
            <w:noWrap/>
            <w:vAlign w:val="bottom"/>
            <w:hideMark/>
          </w:tcPr>
          <w:p w14:paraId="71042467" w14:textId="77777777" w:rsidR="00273522" w:rsidRPr="00C81C2E" w:rsidRDefault="00273522" w:rsidP="008A7D96">
            <w:pPr>
              <w:spacing w:line="240" w:lineRule="auto"/>
              <w:rPr>
                <w:color w:val="000000"/>
              </w:rPr>
            </w:pPr>
            <w:proofErr w:type="spellStart"/>
            <w:r w:rsidRPr="00C81C2E">
              <w:rPr>
                <w:color w:val="000000"/>
              </w:rPr>
              <w:t>di_CZ</w:t>
            </w:r>
            <w:proofErr w:type="spellEnd"/>
          </w:p>
        </w:tc>
        <w:tc>
          <w:tcPr>
            <w:tcW w:w="1283" w:type="dxa"/>
            <w:tcBorders>
              <w:top w:val="single" w:sz="4" w:space="0" w:color="auto"/>
              <w:left w:val="nil"/>
              <w:bottom w:val="single" w:sz="4" w:space="0" w:color="auto"/>
              <w:right w:val="nil"/>
            </w:tcBorders>
            <w:shd w:val="clear" w:color="auto" w:fill="auto"/>
            <w:noWrap/>
            <w:vAlign w:val="bottom"/>
            <w:hideMark/>
          </w:tcPr>
          <w:p w14:paraId="46F585F1" w14:textId="77777777" w:rsidR="00273522" w:rsidRPr="00C81C2E" w:rsidRDefault="00273522" w:rsidP="008A7D96">
            <w:pPr>
              <w:spacing w:line="240" w:lineRule="auto"/>
              <w:rPr>
                <w:color w:val="000000"/>
              </w:rPr>
            </w:pPr>
            <w:proofErr w:type="spellStart"/>
            <w:r w:rsidRPr="00C81C2E">
              <w:rPr>
                <w:color w:val="000000"/>
              </w:rPr>
              <w:t>di_PO</w:t>
            </w:r>
            <w:proofErr w:type="spellEnd"/>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77F2DA10" w14:textId="77777777" w:rsidR="00273522" w:rsidRPr="00C81C2E" w:rsidRDefault="00273522" w:rsidP="008A7D96">
            <w:pPr>
              <w:spacing w:line="240" w:lineRule="auto"/>
              <w:rPr>
                <w:color w:val="000000"/>
              </w:rPr>
            </w:pPr>
            <w:proofErr w:type="spellStart"/>
            <w:r w:rsidRPr="00C81C2E">
              <w:rPr>
                <w:color w:val="000000"/>
              </w:rPr>
              <w:t>di_HU</w:t>
            </w:r>
            <w:proofErr w:type="spellEnd"/>
          </w:p>
        </w:tc>
        <w:tc>
          <w:tcPr>
            <w:tcW w:w="1280" w:type="dxa"/>
            <w:tcBorders>
              <w:top w:val="nil"/>
              <w:left w:val="nil"/>
              <w:bottom w:val="nil"/>
              <w:right w:val="nil"/>
            </w:tcBorders>
            <w:shd w:val="clear" w:color="auto" w:fill="auto"/>
            <w:noWrap/>
            <w:vAlign w:val="bottom"/>
            <w:hideMark/>
          </w:tcPr>
          <w:p w14:paraId="3AA48FC6" w14:textId="77777777" w:rsidR="00273522" w:rsidRPr="00C81C2E" w:rsidRDefault="00273522" w:rsidP="008A7D96">
            <w:pPr>
              <w:spacing w:line="240" w:lineRule="auto"/>
              <w:rPr>
                <w:color w:val="000000"/>
              </w:rPr>
            </w:pPr>
          </w:p>
        </w:tc>
      </w:tr>
      <w:tr w:rsidR="00273522" w:rsidRPr="00C81C2E" w14:paraId="1CB83E6A" w14:textId="77777777" w:rsidTr="00273522">
        <w:trPr>
          <w:trHeight w:val="310"/>
        </w:trPr>
        <w:tc>
          <w:tcPr>
            <w:tcW w:w="1520" w:type="dxa"/>
            <w:tcBorders>
              <w:top w:val="nil"/>
              <w:left w:val="single" w:sz="4" w:space="0" w:color="auto"/>
              <w:bottom w:val="single" w:sz="4" w:space="0" w:color="auto"/>
              <w:right w:val="single" w:sz="4" w:space="0" w:color="auto"/>
            </w:tcBorders>
            <w:shd w:val="clear" w:color="auto" w:fill="auto"/>
            <w:noWrap/>
            <w:vAlign w:val="bottom"/>
            <w:hideMark/>
          </w:tcPr>
          <w:p w14:paraId="02083BEB" w14:textId="77777777" w:rsidR="00273522" w:rsidRPr="00C81C2E" w:rsidRDefault="00273522" w:rsidP="008A7D96">
            <w:pPr>
              <w:spacing w:line="240" w:lineRule="auto"/>
              <w:rPr>
                <w:color w:val="000000"/>
              </w:rPr>
            </w:pPr>
            <w:r w:rsidRPr="00C81C2E">
              <w:rPr>
                <w:color w:val="000000"/>
              </w:rPr>
              <w:t>t-value</w:t>
            </w:r>
          </w:p>
        </w:tc>
        <w:tc>
          <w:tcPr>
            <w:tcW w:w="1296" w:type="dxa"/>
            <w:tcBorders>
              <w:top w:val="nil"/>
              <w:left w:val="nil"/>
              <w:bottom w:val="single" w:sz="4" w:space="0" w:color="auto"/>
              <w:right w:val="nil"/>
            </w:tcBorders>
            <w:shd w:val="clear" w:color="auto" w:fill="auto"/>
            <w:noWrap/>
            <w:vAlign w:val="bottom"/>
            <w:hideMark/>
          </w:tcPr>
          <w:p w14:paraId="10EF4745" w14:textId="77777777" w:rsidR="00273522" w:rsidRPr="00C81C2E" w:rsidRDefault="00273522" w:rsidP="008A7D96">
            <w:pPr>
              <w:spacing w:line="240" w:lineRule="auto"/>
              <w:jc w:val="right"/>
              <w:rPr>
                <w:color w:val="000000"/>
              </w:rPr>
            </w:pPr>
            <w:r w:rsidRPr="00C81C2E">
              <w:rPr>
                <w:color w:val="000000"/>
              </w:rPr>
              <w:t>-7.9987</w:t>
            </w:r>
          </w:p>
        </w:tc>
        <w:tc>
          <w:tcPr>
            <w:tcW w:w="1280" w:type="dxa"/>
            <w:tcBorders>
              <w:top w:val="nil"/>
              <w:left w:val="nil"/>
              <w:bottom w:val="single" w:sz="4" w:space="0" w:color="auto"/>
              <w:right w:val="nil"/>
            </w:tcBorders>
            <w:shd w:val="clear" w:color="auto" w:fill="auto"/>
            <w:noWrap/>
            <w:vAlign w:val="bottom"/>
            <w:hideMark/>
          </w:tcPr>
          <w:p w14:paraId="468DCB94" w14:textId="77777777" w:rsidR="00273522" w:rsidRPr="00C81C2E" w:rsidRDefault="00273522" w:rsidP="008A7D96">
            <w:pPr>
              <w:spacing w:line="240" w:lineRule="auto"/>
              <w:jc w:val="right"/>
              <w:rPr>
                <w:color w:val="000000"/>
              </w:rPr>
            </w:pPr>
            <w:r w:rsidRPr="00C81C2E">
              <w:rPr>
                <w:color w:val="000000"/>
              </w:rPr>
              <w:t>-4.347</w:t>
            </w:r>
          </w:p>
        </w:tc>
        <w:tc>
          <w:tcPr>
            <w:tcW w:w="1283" w:type="dxa"/>
            <w:tcBorders>
              <w:top w:val="nil"/>
              <w:left w:val="nil"/>
              <w:bottom w:val="single" w:sz="4" w:space="0" w:color="auto"/>
              <w:right w:val="nil"/>
            </w:tcBorders>
            <w:shd w:val="clear" w:color="auto" w:fill="auto"/>
            <w:noWrap/>
            <w:vAlign w:val="bottom"/>
            <w:hideMark/>
          </w:tcPr>
          <w:p w14:paraId="48C7CF5F" w14:textId="77777777" w:rsidR="00273522" w:rsidRPr="00C81C2E" w:rsidRDefault="00273522" w:rsidP="008A7D96">
            <w:pPr>
              <w:spacing w:line="240" w:lineRule="auto"/>
              <w:jc w:val="right"/>
              <w:rPr>
                <w:color w:val="000000"/>
              </w:rPr>
            </w:pPr>
            <w:r w:rsidRPr="00C81C2E">
              <w:rPr>
                <w:color w:val="000000"/>
              </w:rPr>
              <w:t>-4.6691</w:t>
            </w:r>
          </w:p>
        </w:tc>
        <w:tc>
          <w:tcPr>
            <w:tcW w:w="1310" w:type="dxa"/>
            <w:tcBorders>
              <w:top w:val="nil"/>
              <w:left w:val="nil"/>
              <w:bottom w:val="single" w:sz="4" w:space="0" w:color="auto"/>
              <w:right w:val="single" w:sz="4" w:space="0" w:color="auto"/>
            </w:tcBorders>
            <w:shd w:val="clear" w:color="auto" w:fill="auto"/>
            <w:noWrap/>
            <w:vAlign w:val="bottom"/>
            <w:hideMark/>
          </w:tcPr>
          <w:p w14:paraId="132350C9" w14:textId="77777777" w:rsidR="00273522" w:rsidRPr="00C81C2E" w:rsidRDefault="00273522" w:rsidP="008A7D96">
            <w:pPr>
              <w:spacing w:line="240" w:lineRule="auto"/>
              <w:jc w:val="right"/>
              <w:rPr>
                <w:color w:val="000000"/>
              </w:rPr>
            </w:pPr>
            <w:r w:rsidRPr="00C81C2E">
              <w:rPr>
                <w:color w:val="000000"/>
              </w:rPr>
              <w:t>-7.2736</w:t>
            </w:r>
          </w:p>
        </w:tc>
        <w:tc>
          <w:tcPr>
            <w:tcW w:w="1280" w:type="dxa"/>
            <w:tcBorders>
              <w:top w:val="nil"/>
              <w:left w:val="nil"/>
              <w:bottom w:val="nil"/>
              <w:right w:val="nil"/>
            </w:tcBorders>
            <w:shd w:val="clear" w:color="auto" w:fill="auto"/>
            <w:noWrap/>
            <w:vAlign w:val="bottom"/>
            <w:hideMark/>
          </w:tcPr>
          <w:p w14:paraId="4CDEDC5A" w14:textId="77777777" w:rsidR="00273522" w:rsidRPr="00C81C2E" w:rsidRDefault="00273522" w:rsidP="008A7D96">
            <w:pPr>
              <w:spacing w:line="240" w:lineRule="auto"/>
              <w:jc w:val="right"/>
              <w:rPr>
                <w:color w:val="000000"/>
              </w:rPr>
            </w:pPr>
          </w:p>
        </w:tc>
      </w:tr>
      <w:tr w:rsidR="00273522" w:rsidRPr="00C81C2E" w14:paraId="72BBD5C7" w14:textId="77777777" w:rsidTr="00273522">
        <w:trPr>
          <w:trHeight w:val="310"/>
        </w:trPr>
        <w:tc>
          <w:tcPr>
            <w:tcW w:w="1520" w:type="dxa"/>
            <w:tcBorders>
              <w:top w:val="nil"/>
              <w:left w:val="nil"/>
              <w:bottom w:val="single" w:sz="4" w:space="0" w:color="auto"/>
              <w:right w:val="single" w:sz="4" w:space="0" w:color="auto"/>
            </w:tcBorders>
            <w:shd w:val="clear" w:color="auto" w:fill="auto"/>
            <w:noWrap/>
            <w:vAlign w:val="bottom"/>
            <w:hideMark/>
          </w:tcPr>
          <w:p w14:paraId="633F3A8D" w14:textId="77777777" w:rsidR="00273522" w:rsidRPr="00C81C2E" w:rsidRDefault="00273522" w:rsidP="008A7D96">
            <w:pPr>
              <w:spacing w:line="240" w:lineRule="auto"/>
              <w:rPr>
                <w:color w:val="000000"/>
              </w:rPr>
            </w:pPr>
            <w:r w:rsidRPr="00C81C2E">
              <w:rPr>
                <w:color w:val="000000"/>
              </w:rPr>
              <w:t> </w:t>
            </w:r>
          </w:p>
        </w:tc>
        <w:tc>
          <w:tcPr>
            <w:tcW w:w="1296" w:type="dxa"/>
            <w:tcBorders>
              <w:top w:val="single" w:sz="4" w:space="0" w:color="auto"/>
              <w:left w:val="nil"/>
              <w:bottom w:val="single" w:sz="4" w:space="0" w:color="auto"/>
              <w:right w:val="nil"/>
            </w:tcBorders>
            <w:shd w:val="clear" w:color="auto" w:fill="auto"/>
            <w:noWrap/>
            <w:vAlign w:val="bottom"/>
            <w:hideMark/>
          </w:tcPr>
          <w:p w14:paraId="0BB62F75" w14:textId="77777777" w:rsidR="00273522" w:rsidRPr="00C81C2E" w:rsidRDefault="00273522" w:rsidP="008A7D96">
            <w:pPr>
              <w:spacing w:line="240" w:lineRule="auto"/>
              <w:rPr>
                <w:color w:val="000000"/>
              </w:rPr>
            </w:pPr>
            <w:proofErr w:type="spellStart"/>
            <w:r w:rsidRPr="00C81C2E">
              <w:rPr>
                <w:color w:val="000000"/>
              </w:rPr>
              <w:t>dEURCZ</w:t>
            </w:r>
            <w:proofErr w:type="spellEnd"/>
          </w:p>
        </w:tc>
        <w:tc>
          <w:tcPr>
            <w:tcW w:w="1280" w:type="dxa"/>
            <w:tcBorders>
              <w:top w:val="single" w:sz="4" w:space="0" w:color="auto"/>
              <w:left w:val="nil"/>
              <w:bottom w:val="single" w:sz="4" w:space="0" w:color="auto"/>
              <w:right w:val="nil"/>
            </w:tcBorders>
            <w:shd w:val="clear" w:color="auto" w:fill="auto"/>
            <w:noWrap/>
            <w:vAlign w:val="bottom"/>
            <w:hideMark/>
          </w:tcPr>
          <w:p w14:paraId="6747551F" w14:textId="77777777" w:rsidR="00273522" w:rsidRPr="00C81C2E" w:rsidRDefault="00273522" w:rsidP="008A7D96">
            <w:pPr>
              <w:spacing w:line="240" w:lineRule="auto"/>
              <w:rPr>
                <w:color w:val="000000"/>
              </w:rPr>
            </w:pPr>
            <w:proofErr w:type="spellStart"/>
            <w:r w:rsidRPr="00C81C2E">
              <w:rPr>
                <w:color w:val="000000"/>
              </w:rPr>
              <w:t>dEURHU</w:t>
            </w:r>
            <w:proofErr w:type="spellEnd"/>
          </w:p>
        </w:tc>
        <w:tc>
          <w:tcPr>
            <w:tcW w:w="1283" w:type="dxa"/>
            <w:tcBorders>
              <w:top w:val="single" w:sz="4" w:space="0" w:color="auto"/>
              <w:left w:val="nil"/>
              <w:bottom w:val="single" w:sz="4" w:space="0" w:color="auto"/>
              <w:right w:val="nil"/>
            </w:tcBorders>
            <w:shd w:val="clear" w:color="auto" w:fill="auto"/>
            <w:noWrap/>
            <w:vAlign w:val="bottom"/>
            <w:hideMark/>
          </w:tcPr>
          <w:p w14:paraId="36997A40" w14:textId="77777777" w:rsidR="00273522" w:rsidRPr="00C81C2E" w:rsidRDefault="00273522" w:rsidP="008A7D96">
            <w:pPr>
              <w:spacing w:line="240" w:lineRule="auto"/>
              <w:rPr>
                <w:color w:val="000000"/>
              </w:rPr>
            </w:pPr>
            <w:proofErr w:type="spellStart"/>
            <w:r w:rsidRPr="00C81C2E">
              <w:rPr>
                <w:color w:val="000000"/>
              </w:rPr>
              <w:t>dEURPO</w:t>
            </w:r>
            <w:proofErr w:type="spellEnd"/>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7B988F20" w14:textId="77777777" w:rsidR="00273522" w:rsidRPr="00C81C2E" w:rsidRDefault="00273522" w:rsidP="008A7D96">
            <w:pPr>
              <w:spacing w:line="240" w:lineRule="auto"/>
              <w:rPr>
                <w:color w:val="000000"/>
              </w:rPr>
            </w:pPr>
            <w:proofErr w:type="spellStart"/>
            <w:r w:rsidRPr="00C81C2E">
              <w:rPr>
                <w:color w:val="000000"/>
              </w:rPr>
              <w:t>dEURRO</w:t>
            </w:r>
            <w:proofErr w:type="spellEnd"/>
          </w:p>
        </w:tc>
        <w:tc>
          <w:tcPr>
            <w:tcW w:w="1280" w:type="dxa"/>
            <w:tcBorders>
              <w:top w:val="nil"/>
              <w:left w:val="nil"/>
              <w:bottom w:val="nil"/>
              <w:right w:val="nil"/>
            </w:tcBorders>
            <w:shd w:val="clear" w:color="auto" w:fill="auto"/>
            <w:noWrap/>
            <w:vAlign w:val="bottom"/>
            <w:hideMark/>
          </w:tcPr>
          <w:p w14:paraId="26B7C2E0" w14:textId="77777777" w:rsidR="00273522" w:rsidRPr="00C81C2E" w:rsidRDefault="00273522" w:rsidP="008A7D96">
            <w:pPr>
              <w:spacing w:line="240" w:lineRule="auto"/>
              <w:rPr>
                <w:color w:val="000000"/>
              </w:rPr>
            </w:pPr>
          </w:p>
        </w:tc>
      </w:tr>
      <w:tr w:rsidR="00273522" w:rsidRPr="00C81C2E" w14:paraId="47C8EC2E" w14:textId="77777777" w:rsidTr="00273522">
        <w:trPr>
          <w:trHeight w:val="310"/>
        </w:trPr>
        <w:tc>
          <w:tcPr>
            <w:tcW w:w="1520" w:type="dxa"/>
            <w:tcBorders>
              <w:top w:val="nil"/>
              <w:left w:val="single" w:sz="4" w:space="0" w:color="auto"/>
              <w:bottom w:val="single" w:sz="4" w:space="0" w:color="auto"/>
              <w:right w:val="single" w:sz="4" w:space="0" w:color="auto"/>
            </w:tcBorders>
            <w:shd w:val="clear" w:color="auto" w:fill="auto"/>
            <w:noWrap/>
            <w:vAlign w:val="bottom"/>
            <w:hideMark/>
          </w:tcPr>
          <w:p w14:paraId="2B051B4C" w14:textId="77777777" w:rsidR="00273522" w:rsidRPr="00C81C2E" w:rsidRDefault="00273522" w:rsidP="008A7D96">
            <w:pPr>
              <w:spacing w:line="240" w:lineRule="auto"/>
              <w:rPr>
                <w:color w:val="000000"/>
              </w:rPr>
            </w:pPr>
            <w:r w:rsidRPr="00C81C2E">
              <w:rPr>
                <w:color w:val="000000"/>
              </w:rPr>
              <w:t>t-value</w:t>
            </w:r>
          </w:p>
        </w:tc>
        <w:tc>
          <w:tcPr>
            <w:tcW w:w="1296" w:type="dxa"/>
            <w:tcBorders>
              <w:top w:val="nil"/>
              <w:left w:val="nil"/>
              <w:bottom w:val="single" w:sz="4" w:space="0" w:color="auto"/>
              <w:right w:val="nil"/>
            </w:tcBorders>
            <w:shd w:val="clear" w:color="auto" w:fill="auto"/>
            <w:noWrap/>
            <w:vAlign w:val="bottom"/>
            <w:hideMark/>
          </w:tcPr>
          <w:p w14:paraId="7DF4EA94" w14:textId="77777777" w:rsidR="00273522" w:rsidRPr="00C81C2E" w:rsidRDefault="00273522" w:rsidP="008A7D96">
            <w:pPr>
              <w:spacing w:line="240" w:lineRule="auto"/>
              <w:jc w:val="right"/>
              <w:rPr>
                <w:color w:val="000000"/>
              </w:rPr>
            </w:pPr>
            <w:r w:rsidRPr="00C81C2E">
              <w:rPr>
                <w:color w:val="000000"/>
              </w:rPr>
              <w:t>-6.8413</w:t>
            </w:r>
          </w:p>
        </w:tc>
        <w:tc>
          <w:tcPr>
            <w:tcW w:w="1280" w:type="dxa"/>
            <w:tcBorders>
              <w:top w:val="nil"/>
              <w:left w:val="nil"/>
              <w:bottom w:val="single" w:sz="4" w:space="0" w:color="auto"/>
              <w:right w:val="nil"/>
            </w:tcBorders>
            <w:shd w:val="clear" w:color="auto" w:fill="auto"/>
            <w:noWrap/>
            <w:vAlign w:val="bottom"/>
            <w:hideMark/>
          </w:tcPr>
          <w:p w14:paraId="37D823E8" w14:textId="77777777" w:rsidR="00273522" w:rsidRPr="00C81C2E" w:rsidRDefault="00273522" w:rsidP="008A7D96">
            <w:pPr>
              <w:spacing w:line="240" w:lineRule="auto"/>
              <w:jc w:val="right"/>
              <w:rPr>
                <w:color w:val="000000"/>
              </w:rPr>
            </w:pPr>
            <w:r w:rsidRPr="00C81C2E">
              <w:rPr>
                <w:color w:val="000000"/>
              </w:rPr>
              <w:t>-7.454</w:t>
            </w:r>
          </w:p>
        </w:tc>
        <w:tc>
          <w:tcPr>
            <w:tcW w:w="1283" w:type="dxa"/>
            <w:tcBorders>
              <w:top w:val="nil"/>
              <w:left w:val="nil"/>
              <w:bottom w:val="single" w:sz="4" w:space="0" w:color="auto"/>
              <w:right w:val="nil"/>
            </w:tcBorders>
            <w:shd w:val="clear" w:color="auto" w:fill="auto"/>
            <w:noWrap/>
            <w:vAlign w:val="bottom"/>
            <w:hideMark/>
          </w:tcPr>
          <w:p w14:paraId="79E643BC" w14:textId="77777777" w:rsidR="00273522" w:rsidRPr="00C81C2E" w:rsidRDefault="00273522" w:rsidP="008A7D96">
            <w:pPr>
              <w:spacing w:line="240" w:lineRule="auto"/>
              <w:jc w:val="right"/>
              <w:rPr>
                <w:color w:val="000000"/>
              </w:rPr>
            </w:pPr>
            <w:r w:rsidRPr="00C81C2E">
              <w:rPr>
                <w:color w:val="000000"/>
              </w:rPr>
              <w:t>-6.4311</w:t>
            </w:r>
          </w:p>
        </w:tc>
        <w:tc>
          <w:tcPr>
            <w:tcW w:w="1310" w:type="dxa"/>
            <w:tcBorders>
              <w:top w:val="nil"/>
              <w:left w:val="nil"/>
              <w:bottom w:val="single" w:sz="4" w:space="0" w:color="auto"/>
              <w:right w:val="single" w:sz="4" w:space="0" w:color="auto"/>
            </w:tcBorders>
            <w:shd w:val="clear" w:color="auto" w:fill="auto"/>
            <w:noWrap/>
            <w:vAlign w:val="bottom"/>
            <w:hideMark/>
          </w:tcPr>
          <w:p w14:paraId="45D64EBB" w14:textId="77777777" w:rsidR="00273522" w:rsidRPr="00C81C2E" w:rsidRDefault="00273522" w:rsidP="008A7D96">
            <w:pPr>
              <w:spacing w:line="240" w:lineRule="auto"/>
              <w:jc w:val="right"/>
              <w:rPr>
                <w:color w:val="000000"/>
              </w:rPr>
            </w:pPr>
            <w:r w:rsidRPr="00C81C2E">
              <w:rPr>
                <w:color w:val="000000"/>
              </w:rPr>
              <w:t>-5.972</w:t>
            </w:r>
          </w:p>
        </w:tc>
        <w:tc>
          <w:tcPr>
            <w:tcW w:w="1280" w:type="dxa"/>
            <w:tcBorders>
              <w:top w:val="nil"/>
              <w:left w:val="nil"/>
              <w:bottom w:val="nil"/>
              <w:right w:val="nil"/>
            </w:tcBorders>
            <w:shd w:val="clear" w:color="auto" w:fill="auto"/>
            <w:noWrap/>
            <w:vAlign w:val="bottom"/>
            <w:hideMark/>
          </w:tcPr>
          <w:p w14:paraId="49972DE8" w14:textId="77777777" w:rsidR="00273522" w:rsidRPr="00C81C2E" w:rsidRDefault="00273522" w:rsidP="008A7D96">
            <w:pPr>
              <w:spacing w:line="240" w:lineRule="auto"/>
              <w:jc w:val="right"/>
              <w:rPr>
                <w:color w:val="000000"/>
              </w:rPr>
            </w:pPr>
          </w:p>
        </w:tc>
      </w:tr>
    </w:tbl>
    <w:p w14:paraId="34F28584" w14:textId="47131273" w:rsidR="004609C6" w:rsidRPr="00582EC7" w:rsidRDefault="004609C6" w:rsidP="00582EC7">
      <w:pPr>
        <w:pStyle w:val="References"/>
        <w:ind w:left="0" w:firstLine="0"/>
        <w:rPr>
          <w:rFonts w:cs="Arial"/>
          <w:b/>
          <w:bCs/>
          <w:kern w:val="32"/>
          <w:szCs w:val="32"/>
        </w:rPr>
      </w:pPr>
    </w:p>
    <w:sectPr w:rsidR="004609C6" w:rsidRPr="00582EC7" w:rsidSect="00FE038B">
      <w:footerReference w:type="even" r:id="rId46"/>
      <w:footerReference w:type="default" r:id="rId47"/>
      <w:pgSz w:w="11901" w:h="16840" w:code="9"/>
      <w:pgMar w:top="1418" w:right="1701" w:bottom="1418"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C05841" w14:textId="77777777" w:rsidR="00A86B02" w:rsidRDefault="00A86B02" w:rsidP="00AF2C92">
      <w:r>
        <w:separator/>
      </w:r>
    </w:p>
  </w:endnote>
  <w:endnote w:type="continuationSeparator" w:id="0">
    <w:p w14:paraId="01C65457" w14:textId="77777777" w:rsidR="00A86B02" w:rsidRDefault="00A86B02" w:rsidP="00AF2C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NewRomanPSMT">
    <w:altName w:val="Times New Roman"/>
    <w:panose1 w:val="020B0604020202020204"/>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55CAEA" w14:textId="77777777" w:rsidR="008B36C4" w:rsidRDefault="008B36C4" w:rsidP="00FE038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B5636BF" w14:textId="77777777" w:rsidR="008B36C4" w:rsidRDefault="008B36C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161281" w14:textId="2E978BF3" w:rsidR="008B36C4" w:rsidRDefault="008B36C4" w:rsidP="00FE038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652761">
      <w:rPr>
        <w:rStyle w:val="PageNumber"/>
        <w:noProof/>
      </w:rPr>
      <w:t>8</w:t>
    </w:r>
    <w:r>
      <w:rPr>
        <w:rStyle w:val="PageNumber"/>
      </w:rPr>
      <w:fldChar w:fldCharType="end"/>
    </w:r>
  </w:p>
  <w:p w14:paraId="30D0D806" w14:textId="77777777" w:rsidR="008B36C4" w:rsidRDefault="008B36C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892D32" w14:textId="77777777" w:rsidR="00A86B02" w:rsidRDefault="00A86B02" w:rsidP="00AF2C92">
      <w:r>
        <w:separator/>
      </w:r>
    </w:p>
  </w:footnote>
  <w:footnote w:type="continuationSeparator" w:id="0">
    <w:p w14:paraId="1C2EB0DD" w14:textId="77777777" w:rsidR="00A86B02" w:rsidRDefault="00A86B02" w:rsidP="00AF2C9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97AC519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56A8D49E"/>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B8FAF608"/>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ADD20702"/>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045CBA9E"/>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0F2A0B40"/>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2292B27E"/>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1AAEC3CC"/>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34B69B60"/>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BF90A39C"/>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309663FC"/>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00000002"/>
    <w:multiLevelType w:val="hybridMultilevel"/>
    <w:tmpl w:val="00000002"/>
    <w:lvl w:ilvl="0" w:tplc="00000065">
      <w:start w:val="1"/>
      <w:numFmt w:val="bullet"/>
      <w:lvlText w:val="•"/>
      <w:lvlJc w:val="left"/>
      <w:pPr>
        <w:ind w:left="108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15:restartNumberingAfterBreak="0">
    <w:nsid w:val="00000003"/>
    <w:multiLevelType w:val="hybridMultilevel"/>
    <w:tmpl w:val="00000003"/>
    <w:lvl w:ilvl="0" w:tplc="000000C9">
      <w:start w:val="1"/>
      <w:numFmt w:val="bullet"/>
      <w:lvlText w:val="•"/>
      <w:lvlJc w:val="left"/>
      <w:pPr>
        <w:ind w:left="108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15:restartNumberingAfterBreak="0">
    <w:nsid w:val="00000004"/>
    <w:multiLevelType w:val="hybridMultilevel"/>
    <w:tmpl w:val="00000004"/>
    <w:lvl w:ilvl="0" w:tplc="0000012D">
      <w:start w:val="1"/>
      <w:numFmt w:val="bullet"/>
      <w:lvlText w:val="•"/>
      <w:lvlJc w:val="left"/>
      <w:pPr>
        <w:ind w:left="108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15:restartNumberingAfterBreak="0">
    <w:nsid w:val="012C125F"/>
    <w:multiLevelType w:val="hybridMultilevel"/>
    <w:tmpl w:val="3D40199C"/>
    <w:lvl w:ilvl="0" w:tplc="04260005">
      <w:start w:val="1"/>
      <w:numFmt w:val="bullet"/>
      <w:lvlText w:val=""/>
      <w:lvlJc w:val="left"/>
      <w:pPr>
        <w:tabs>
          <w:tab w:val="num" w:pos="1080"/>
        </w:tabs>
        <w:ind w:left="1080" w:hanging="360"/>
      </w:pPr>
      <w:rPr>
        <w:rFonts w:ascii="Wingdings" w:hAnsi="Wingdings" w:hint="default"/>
      </w:rPr>
    </w:lvl>
    <w:lvl w:ilvl="1" w:tplc="04260003">
      <w:start w:val="1"/>
      <w:numFmt w:val="bullet"/>
      <w:lvlText w:val="o"/>
      <w:lvlJc w:val="left"/>
      <w:pPr>
        <w:tabs>
          <w:tab w:val="num" w:pos="1800"/>
        </w:tabs>
        <w:ind w:left="1800" w:hanging="360"/>
      </w:pPr>
      <w:rPr>
        <w:rFonts w:ascii="Courier New" w:hAnsi="Courier New" w:cs="Arial" w:hint="default"/>
      </w:rPr>
    </w:lvl>
    <w:lvl w:ilvl="2" w:tplc="04260005" w:tentative="1">
      <w:start w:val="1"/>
      <w:numFmt w:val="bullet"/>
      <w:lvlText w:val=""/>
      <w:lvlJc w:val="left"/>
      <w:pPr>
        <w:tabs>
          <w:tab w:val="num" w:pos="2520"/>
        </w:tabs>
        <w:ind w:left="2520" w:hanging="360"/>
      </w:pPr>
      <w:rPr>
        <w:rFonts w:ascii="Wingdings" w:hAnsi="Wingdings" w:hint="default"/>
      </w:rPr>
    </w:lvl>
    <w:lvl w:ilvl="3" w:tplc="04260001" w:tentative="1">
      <w:start w:val="1"/>
      <w:numFmt w:val="bullet"/>
      <w:lvlText w:val=""/>
      <w:lvlJc w:val="left"/>
      <w:pPr>
        <w:tabs>
          <w:tab w:val="num" w:pos="3240"/>
        </w:tabs>
        <w:ind w:left="3240" w:hanging="360"/>
      </w:pPr>
      <w:rPr>
        <w:rFonts w:ascii="Symbol" w:hAnsi="Symbol" w:hint="default"/>
      </w:rPr>
    </w:lvl>
    <w:lvl w:ilvl="4" w:tplc="04260003" w:tentative="1">
      <w:start w:val="1"/>
      <w:numFmt w:val="bullet"/>
      <w:lvlText w:val="o"/>
      <w:lvlJc w:val="left"/>
      <w:pPr>
        <w:tabs>
          <w:tab w:val="num" w:pos="3960"/>
        </w:tabs>
        <w:ind w:left="3960" w:hanging="360"/>
      </w:pPr>
      <w:rPr>
        <w:rFonts w:ascii="Courier New" w:hAnsi="Courier New" w:cs="Arial" w:hint="default"/>
      </w:rPr>
    </w:lvl>
    <w:lvl w:ilvl="5" w:tplc="04260005" w:tentative="1">
      <w:start w:val="1"/>
      <w:numFmt w:val="bullet"/>
      <w:lvlText w:val=""/>
      <w:lvlJc w:val="left"/>
      <w:pPr>
        <w:tabs>
          <w:tab w:val="num" w:pos="4680"/>
        </w:tabs>
        <w:ind w:left="4680" w:hanging="360"/>
      </w:pPr>
      <w:rPr>
        <w:rFonts w:ascii="Wingdings" w:hAnsi="Wingdings" w:hint="default"/>
      </w:rPr>
    </w:lvl>
    <w:lvl w:ilvl="6" w:tplc="04260001" w:tentative="1">
      <w:start w:val="1"/>
      <w:numFmt w:val="bullet"/>
      <w:lvlText w:val=""/>
      <w:lvlJc w:val="left"/>
      <w:pPr>
        <w:tabs>
          <w:tab w:val="num" w:pos="5400"/>
        </w:tabs>
        <w:ind w:left="5400" w:hanging="360"/>
      </w:pPr>
      <w:rPr>
        <w:rFonts w:ascii="Symbol" w:hAnsi="Symbol" w:hint="default"/>
      </w:rPr>
    </w:lvl>
    <w:lvl w:ilvl="7" w:tplc="04260003" w:tentative="1">
      <w:start w:val="1"/>
      <w:numFmt w:val="bullet"/>
      <w:lvlText w:val="o"/>
      <w:lvlJc w:val="left"/>
      <w:pPr>
        <w:tabs>
          <w:tab w:val="num" w:pos="6120"/>
        </w:tabs>
        <w:ind w:left="6120" w:hanging="360"/>
      </w:pPr>
      <w:rPr>
        <w:rFonts w:ascii="Courier New" w:hAnsi="Courier New" w:cs="Arial" w:hint="default"/>
      </w:rPr>
    </w:lvl>
    <w:lvl w:ilvl="8" w:tplc="04260005" w:tentative="1">
      <w:start w:val="1"/>
      <w:numFmt w:val="bullet"/>
      <w:lvlText w:val=""/>
      <w:lvlJc w:val="left"/>
      <w:pPr>
        <w:tabs>
          <w:tab w:val="num" w:pos="6840"/>
        </w:tabs>
        <w:ind w:left="6840" w:hanging="360"/>
      </w:pPr>
      <w:rPr>
        <w:rFonts w:ascii="Wingdings" w:hAnsi="Wingdings" w:hint="default"/>
      </w:rPr>
    </w:lvl>
  </w:abstractNum>
  <w:abstractNum w:abstractNumId="16" w15:restartNumberingAfterBreak="0">
    <w:nsid w:val="05CC0843"/>
    <w:multiLevelType w:val="multilevel"/>
    <w:tmpl w:val="9426EBB6"/>
    <w:lvl w:ilvl="0">
      <w:start w:val="1"/>
      <w:numFmt w:val="decimal"/>
      <w:lvlText w:val="(%1)"/>
      <w:lvlJc w:val="right"/>
      <w:pPr>
        <w:ind w:left="720" w:hanging="181"/>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0D0E765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1F413159"/>
    <w:multiLevelType w:val="multilevel"/>
    <w:tmpl w:val="30C08770"/>
    <w:lvl w:ilvl="0">
      <w:start w:val="1"/>
      <w:numFmt w:val="decimal"/>
      <w:lvlText w:val="(%1)"/>
      <w:lvlJc w:val="right"/>
      <w:pPr>
        <w:ind w:left="720" w:hanging="153"/>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1FBD58E1"/>
    <w:multiLevelType w:val="multilevel"/>
    <w:tmpl w:val="1B88B87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2366427A"/>
    <w:multiLevelType w:val="hybridMultilevel"/>
    <w:tmpl w:val="56A6B26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26303639"/>
    <w:multiLevelType w:val="hybridMultilevel"/>
    <w:tmpl w:val="2E969DCE"/>
    <w:lvl w:ilvl="0" w:tplc="3AFE92A4">
      <w:start w:val="1"/>
      <w:numFmt w:val="decimal"/>
      <w:lvlText w:val="%1."/>
      <w:lvlJc w:val="left"/>
      <w:pPr>
        <w:ind w:left="720" w:hanging="360"/>
      </w:pPr>
      <w:rPr>
        <w:rFonts w:hint="default"/>
        <w: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27E8289F"/>
    <w:multiLevelType w:val="hybridMultilevel"/>
    <w:tmpl w:val="E976D66C"/>
    <w:lvl w:ilvl="0" w:tplc="0CDA7214">
      <w:start w:val="1"/>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3" w15:restartNumberingAfterBreak="0">
    <w:nsid w:val="389B5003"/>
    <w:multiLevelType w:val="multilevel"/>
    <w:tmpl w:val="DD5255FA"/>
    <w:lvl w:ilvl="0">
      <w:start w:val="1"/>
      <w:numFmt w:val="decimal"/>
      <w:lvlText w:val="(%1)"/>
      <w:lvlJc w:val="left"/>
      <w:pPr>
        <w:ind w:left="720" w:hanging="454"/>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3C5D0C07"/>
    <w:multiLevelType w:val="hybridMultilevel"/>
    <w:tmpl w:val="4CA02766"/>
    <w:lvl w:ilvl="0" w:tplc="79367BA0">
      <w:start w:val="1"/>
      <w:numFmt w:val="decimal"/>
      <w:pStyle w:val="Numberedlist"/>
      <w:lvlText w:val="(%1)"/>
      <w:lvlJc w:val="right"/>
      <w:pPr>
        <w:ind w:left="720" w:hanging="153"/>
      </w:pPr>
      <w:rPr>
        <w:rFonts w:hint="default"/>
      </w:rPr>
    </w:lvl>
    <w:lvl w:ilvl="1" w:tplc="FE3AC208">
      <w:start w:val="1"/>
      <w:numFmt w:val="lowerLetter"/>
      <w:lvlText w:val="(%2)"/>
      <w:lvlJc w:val="left"/>
      <w:pPr>
        <w:ind w:left="1440" w:hanging="360"/>
      </w:pPr>
      <w:rPr>
        <w:rFonts w:hint="default"/>
      </w:rPr>
    </w:lvl>
    <w:lvl w:ilvl="2" w:tplc="77E4D7DE">
      <w:start w:val="1"/>
      <w:numFmt w:val="lowerRoman"/>
      <w:lvlText w:val="(%3)"/>
      <w:lvlJc w:val="right"/>
      <w:pPr>
        <w:ind w:left="2160" w:hanging="18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3D4A71FF"/>
    <w:multiLevelType w:val="hybridMultilevel"/>
    <w:tmpl w:val="CADCD1BE"/>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 w15:restartNumberingAfterBreak="0">
    <w:nsid w:val="5838135E"/>
    <w:multiLevelType w:val="hybridMultilevel"/>
    <w:tmpl w:val="68EEE13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Aria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Aria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Aria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5BD96BF8"/>
    <w:multiLevelType w:val="hybridMultilevel"/>
    <w:tmpl w:val="76D2C65A"/>
    <w:lvl w:ilvl="0" w:tplc="0456C424">
      <w:start w:val="1"/>
      <w:numFmt w:val="bullet"/>
      <w:pStyle w:val="Bulletedlis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DD751B3"/>
    <w:multiLevelType w:val="hybridMultilevel"/>
    <w:tmpl w:val="5708286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638D6C72"/>
    <w:multiLevelType w:val="hybridMultilevel"/>
    <w:tmpl w:val="5732B142"/>
    <w:lvl w:ilvl="0" w:tplc="F88A503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3FA38AF"/>
    <w:multiLevelType w:val="hybridMultilevel"/>
    <w:tmpl w:val="C96A95C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D84276E"/>
    <w:multiLevelType w:val="multilevel"/>
    <w:tmpl w:val="B228266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6D9373AB"/>
    <w:multiLevelType w:val="multilevel"/>
    <w:tmpl w:val="B89CB32C"/>
    <w:lvl w:ilvl="0">
      <w:start w:val="1"/>
      <w:numFmt w:val="decimal"/>
      <w:lvlText w:val="(%1)"/>
      <w:lvlJc w:val="right"/>
      <w:pPr>
        <w:ind w:left="720" w:hanging="153"/>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75BE4D1D"/>
    <w:multiLevelType w:val="multilevel"/>
    <w:tmpl w:val="0409001F"/>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52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600"/>
        </w:tabs>
        <w:ind w:left="2736" w:hanging="936"/>
      </w:pPr>
    </w:lvl>
    <w:lvl w:ilvl="6">
      <w:start w:val="1"/>
      <w:numFmt w:val="decimal"/>
      <w:lvlText w:val="%1.%2.%3.%4.%5.%6.%7."/>
      <w:lvlJc w:val="left"/>
      <w:pPr>
        <w:tabs>
          <w:tab w:val="num" w:pos="4320"/>
        </w:tabs>
        <w:ind w:left="3240" w:hanging="1080"/>
      </w:pPr>
    </w:lvl>
    <w:lvl w:ilvl="7">
      <w:start w:val="1"/>
      <w:numFmt w:val="decimal"/>
      <w:lvlText w:val="%1.%2.%3.%4.%5.%6.%7.%8."/>
      <w:lvlJc w:val="left"/>
      <w:pPr>
        <w:tabs>
          <w:tab w:val="num" w:pos="5040"/>
        </w:tabs>
        <w:ind w:left="3744" w:hanging="1224"/>
      </w:pPr>
    </w:lvl>
    <w:lvl w:ilvl="8">
      <w:start w:val="1"/>
      <w:numFmt w:val="decimal"/>
      <w:lvlText w:val="%1.%2.%3.%4.%5.%6.%7.%8.%9."/>
      <w:lvlJc w:val="left"/>
      <w:pPr>
        <w:tabs>
          <w:tab w:val="num" w:pos="5760"/>
        </w:tabs>
        <w:ind w:left="4320" w:hanging="1440"/>
      </w:pPr>
    </w:lvl>
  </w:abstractNum>
  <w:num w:numId="1" w16cid:durableId="1217084120">
    <w:abstractNumId w:val="22"/>
  </w:num>
  <w:num w:numId="2" w16cid:durableId="1599215381">
    <w:abstractNumId w:val="26"/>
  </w:num>
  <w:num w:numId="3" w16cid:durableId="1025593314">
    <w:abstractNumId w:val="1"/>
  </w:num>
  <w:num w:numId="4" w16cid:durableId="1924871597">
    <w:abstractNumId w:val="2"/>
  </w:num>
  <w:num w:numId="5" w16cid:durableId="372313750">
    <w:abstractNumId w:val="3"/>
  </w:num>
  <w:num w:numId="6" w16cid:durableId="2022581495">
    <w:abstractNumId w:val="4"/>
  </w:num>
  <w:num w:numId="7" w16cid:durableId="2134787624">
    <w:abstractNumId w:val="9"/>
  </w:num>
  <w:num w:numId="8" w16cid:durableId="1739208757">
    <w:abstractNumId w:val="5"/>
  </w:num>
  <w:num w:numId="9" w16cid:durableId="1941375923">
    <w:abstractNumId w:val="7"/>
  </w:num>
  <w:num w:numId="10" w16cid:durableId="1249332">
    <w:abstractNumId w:val="6"/>
  </w:num>
  <w:num w:numId="11" w16cid:durableId="600726964">
    <w:abstractNumId w:val="10"/>
  </w:num>
  <w:num w:numId="12" w16cid:durableId="1730880328">
    <w:abstractNumId w:val="8"/>
  </w:num>
  <w:num w:numId="13" w16cid:durableId="383137163">
    <w:abstractNumId w:val="24"/>
  </w:num>
  <w:num w:numId="14" w16cid:durableId="1609385623">
    <w:abstractNumId w:val="27"/>
  </w:num>
  <w:num w:numId="15" w16cid:durableId="2068142332">
    <w:abstractNumId w:val="19"/>
  </w:num>
  <w:num w:numId="16" w16cid:durableId="679433130">
    <w:abstractNumId w:val="23"/>
  </w:num>
  <w:num w:numId="17" w16cid:durableId="73282872">
    <w:abstractNumId w:val="16"/>
  </w:num>
  <w:num w:numId="18" w16cid:durableId="1839881210">
    <w:abstractNumId w:val="0"/>
  </w:num>
  <w:num w:numId="19" w16cid:durableId="1091587031">
    <w:abstractNumId w:val="17"/>
  </w:num>
  <w:num w:numId="20" w16cid:durableId="2099708997">
    <w:abstractNumId w:val="27"/>
  </w:num>
  <w:num w:numId="21" w16cid:durableId="319843758">
    <w:abstractNumId w:val="27"/>
  </w:num>
  <w:num w:numId="22" w16cid:durableId="820343779">
    <w:abstractNumId w:val="27"/>
  </w:num>
  <w:num w:numId="23" w16cid:durableId="708067510">
    <w:abstractNumId w:val="27"/>
  </w:num>
  <w:num w:numId="24" w16cid:durableId="179055867">
    <w:abstractNumId w:val="24"/>
  </w:num>
  <w:num w:numId="25" w16cid:durableId="1299922181">
    <w:abstractNumId w:val="25"/>
  </w:num>
  <w:num w:numId="26" w16cid:durableId="443113251">
    <w:abstractNumId w:val="28"/>
  </w:num>
  <w:num w:numId="27" w16cid:durableId="77483042">
    <w:abstractNumId w:val="30"/>
  </w:num>
  <w:num w:numId="28" w16cid:durableId="508953654">
    <w:abstractNumId w:val="27"/>
  </w:num>
  <w:num w:numId="29" w16cid:durableId="1507549360">
    <w:abstractNumId w:val="18"/>
  </w:num>
  <w:num w:numId="30" w16cid:durableId="40176301">
    <w:abstractNumId w:val="32"/>
  </w:num>
  <w:num w:numId="31" w16cid:durableId="1666083382">
    <w:abstractNumId w:val="33"/>
  </w:num>
  <w:num w:numId="32" w16cid:durableId="747506577">
    <w:abstractNumId w:val="11"/>
  </w:num>
  <w:num w:numId="33" w16cid:durableId="985359690">
    <w:abstractNumId w:val="12"/>
  </w:num>
  <w:num w:numId="34" w16cid:durableId="931544667">
    <w:abstractNumId w:val="13"/>
  </w:num>
  <w:num w:numId="35" w16cid:durableId="1548640332">
    <w:abstractNumId w:val="14"/>
  </w:num>
  <w:num w:numId="36" w16cid:durableId="75051644">
    <w:abstractNumId w:val="15"/>
  </w:num>
  <w:num w:numId="37" w16cid:durableId="496500788">
    <w:abstractNumId w:val="29"/>
  </w:num>
  <w:num w:numId="38" w16cid:durableId="55129361">
    <w:abstractNumId w:val="20"/>
  </w:num>
  <w:num w:numId="39" w16cid:durableId="1928028616">
    <w:abstractNumId w:val="21"/>
  </w:num>
  <w:num w:numId="40" w16cid:durableId="245696707">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7"/>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A4515"/>
    <w:rsid w:val="00001899"/>
    <w:rsid w:val="00002130"/>
    <w:rsid w:val="000049AD"/>
    <w:rsid w:val="00007F5D"/>
    <w:rsid w:val="00010D45"/>
    <w:rsid w:val="000133C0"/>
    <w:rsid w:val="000142C2"/>
    <w:rsid w:val="00014C4E"/>
    <w:rsid w:val="00017107"/>
    <w:rsid w:val="000202E2"/>
    <w:rsid w:val="00022441"/>
    <w:rsid w:val="0002261E"/>
    <w:rsid w:val="00023837"/>
    <w:rsid w:val="00024839"/>
    <w:rsid w:val="00026871"/>
    <w:rsid w:val="00037A98"/>
    <w:rsid w:val="00042406"/>
    <w:rsid w:val="000427FB"/>
    <w:rsid w:val="0004455E"/>
    <w:rsid w:val="00047CB5"/>
    <w:rsid w:val="00051FAA"/>
    <w:rsid w:val="000572A9"/>
    <w:rsid w:val="00061325"/>
    <w:rsid w:val="000733AC"/>
    <w:rsid w:val="00074D22"/>
    <w:rsid w:val="00075081"/>
    <w:rsid w:val="0007528A"/>
    <w:rsid w:val="000811AB"/>
    <w:rsid w:val="00083C5F"/>
    <w:rsid w:val="0009172C"/>
    <w:rsid w:val="000930EC"/>
    <w:rsid w:val="00093E92"/>
    <w:rsid w:val="00095E61"/>
    <w:rsid w:val="000966C1"/>
    <w:rsid w:val="000970AC"/>
    <w:rsid w:val="000976EB"/>
    <w:rsid w:val="000A1167"/>
    <w:rsid w:val="000A3A03"/>
    <w:rsid w:val="000A4428"/>
    <w:rsid w:val="000A6D40"/>
    <w:rsid w:val="000A7BC3"/>
    <w:rsid w:val="000B1661"/>
    <w:rsid w:val="000B2E88"/>
    <w:rsid w:val="000B4603"/>
    <w:rsid w:val="000C09BE"/>
    <w:rsid w:val="000C1380"/>
    <w:rsid w:val="000C554F"/>
    <w:rsid w:val="000C6BED"/>
    <w:rsid w:val="000D0DC5"/>
    <w:rsid w:val="000D15FF"/>
    <w:rsid w:val="000D28DF"/>
    <w:rsid w:val="000D488B"/>
    <w:rsid w:val="000D5C8F"/>
    <w:rsid w:val="000D6429"/>
    <w:rsid w:val="000D68DF"/>
    <w:rsid w:val="000E1168"/>
    <w:rsid w:val="000E138D"/>
    <w:rsid w:val="000E187A"/>
    <w:rsid w:val="000E2110"/>
    <w:rsid w:val="000E2D61"/>
    <w:rsid w:val="000E450E"/>
    <w:rsid w:val="000E4E02"/>
    <w:rsid w:val="000E6259"/>
    <w:rsid w:val="000F2BAE"/>
    <w:rsid w:val="000F4677"/>
    <w:rsid w:val="000F47A8"/>
    <w:rsid w:val="000F56D0"/>
    <w:rsid w:val="000F5BE0"/>
    <w:rsid w:val="00100587"/>
    <w:rsid w:val="0010284E"/>
    <w:rsid w:val="00103122"/>
    <w:rsid w:val="0010336A"/>
    <w:rsid w:val="001050F1"/>
    <w:rsid w:val="00105AEA"/>
    <w:rsid w:val="00106DAF"/>
    <w:rsid w:val="0011224D"/>
    <w:rsid w:val="00116023"/>
    <w:rsid w:val="001258E9"/>
    <w:rsid w:val="00134A51"/>
    <w:rsid w:val="00140727"/>
    <w:rsid w:val="00143D35"/>
    <w:rsid w:val="00160628"/>
    <w:rsid w:val="00161344"/>
    <w:rsid w:val="00162195"/>
    <w:rsid w:val="0016322A"/>
    <w:rsid w:val="00164DDA"/>
    <w:rsid w:val="00165A21"/>
    <w:rsid w:val="001705CE"/>
    <w:rsid w:val="0017448E"/>
    <w:rsid w:val="0017714B"/>
    <w:rsid w:val="001804DF"/>
    <w:rsid w:val="00181BDC"/>
    <w:rsid w:val="00181DB0"/>
    <w:rsid w:val="001829E3"/>
    <w:rsid w:val="0019397C"/>
    <w:rsid w:val="00194B11"/>
    <w:rsid w:val="0019731E"/>
    <w:rsid w:val="001A09FE"/>
    <w:rsid w:val="001A67C9"/>
    <w:rsid w:val="001A69DE"/>
    <w:rsid w:val="001B1C7C"/>
    <w:rsid w:val="001B398F"/>
    <w:rsid w:val="001B46C6"/>
    <w:rsid w:val="001B4B48"/>
    <w:rsid w:val="001B4D1F"/>
    <w:rsid w:val="001B7681"/>
    <w:rsid w:val="001B7CAE"/>
    <w:rsid w:val="001C0772"/>
    <w:rsid w:val="001C0D4F"/>
    <w:rsid w:val="001C1DEC"/>
    <w:rsid w:val="001C5736"/>
    <w:rsid w:val="001D4A49"/>
    <w:rsid w:val="001E00AF"/>
    <w:rsid w:val="001E0572"/>
    <w:rsid w:val="001E0743"/>
    <w:rsid w:val="001E0A67"/>
    <w:rsid w:val="001E1028"/>
    <w:rsid w:val="001E14E2"/>
    <w:rsid w:val="001E3D7F"/>
    <w:rsid w:val="001E510A"/>
    <w:rsid w:val="001E6302"/>
    <w:rsid w:val="001E7DCB"/>
    <w:rsid w:val="001F3411"/>
    <w:rsid w:val="001F4287"/>
    <w:rsid w:val="001F4DBA"/>
    <w:rsid w:val="001F50CE"/>
    <w:rsid w:val="001F5BCC"/>
    <w:rsid w:val="001F5FD4"/>
    <w:rsid w:val="0020415E"/>
    <w:rsid w:val="00204FF4"/>
    <w:rsid w:val="0021056E"/>
    <w:rsid w:val="0021075D"/>
    <w:rsid w:val="0021165A"/>
    <w:rsid w:val="00211BC9"/>
    <w:rsid w:val="00213E12"/>
    <w:rsid w:val="00214E94"/>
    <w:rsid w:val="0021620C"/>
    <w:rsid w:val="00216E78"/>
    <w:rsid w:val="00217275"/>
    <w:rsid w:val="00223E66"/>
    <w:rsid w:val="00231BB0"/>
    <w:rsid w:val="00236F4B"/>
    <w:rsid w:val="00237470"/>
    <w:rsid w:val="00240E64"/>
    <w:rsid w:val="00242B0D"/>
    <w:rsid w:val="002467C6"/>
    <w:rsid w:val="0024692A"/>
    <w:rsid w:val="00252BBA"/>
    <w:rsid w:val="00253123"/>
    <w:rsid w:val="002577AB"/>
    <w:rsid w:val="002621C3"/>
    <w:rsid w:val="00264001"/>
    <w:rsid w:val="00266354"/>
    <w:rsid w:val="002676FA"/>
    <w:rsid w:val="00267A18"/>
    <w:rsid w:val="00273462"/>
    <w:rsid w:val="00273522"/>
    <w:rsid w:val="0027395B"/>
    <w:rsid w:val="00273CDB"/>
    <w:rsid w:val="00275854"/>
    <w:rsid w:val="00283B41"/>
    <w:rsid w:val="00285F28"/>
    <w:rsid w:val="00286398"/>
    <w:rsid w:val="002879BD"/>
    <w:rsid w:val="00291B71"/>
    <w:rsid w:val="00294A7E"/>
    <w:rsid w:val="002A13DF"/>
    <w:rsid w:val="002A3444"/>
    <w:rsid w:val="002A3C42"/>
    <w:rsid w:val="002A5D75"/>
    <w:rsid w:val="002B1B1A"/>
    <w:rsid w:val="002B68EC"/>
    <w:rsid w:val="002B7228"/>
    <w:rsid w:val="002C53EE"/>
    <w:rsid w:val="002C6A93"/>
    <w:rsid w:val="002D24F7"/>
    <w:rsid w:val="002D2799"/>
    <w:rsid w:val="002D2CD7"/>
    <w:rsid w:val="002D3628"/>
    <w:rsid w:val="002D4DDC"/>
    <w:rsid w:val="002D4F75"/>
    <w:rsid w:val="002D6493"/>
    <w:rsid w:val="002D7AB6"/>
    <w:rsid w:val="002E06D0"/>
    <w:rsid w:val="002E28DD"/>
    <w:rsid w:val="002E2DD9"/>
    <w:rsid w:val="002E3C27"/>
    <w:rsid w:val="002E403A"/>
    <w:rsid w:val="002E7F3A"/>
    <w:rsid w:val="002F4EDB"/>
    <w:rsid w:val="002F6054"/>
    <w:rsid w:val="002F6FDF"/>
    <w:rsid w:val="00314DD9"/>
    <w:rsid w:val="00315713"/>
    <w:rsid w:val="0031686C"/>
    <w:rsid w:val="00316FE0"/>
    <w:rsid w:val="003204D2"/>
    <w:rsid w:val="003245A9"/>
    <w:rsid w:val="00325CF8"/>
    <w:rsid w:val="0032605E"/>
    <w:rsid w:val="003275D1"/>
    <w:rsid w:val="00330B2A"/>
    <w:rsid w:val="00331E17"/>
    <w:rsid w:val="00333063"/>
    <w:rsid w:val="003408E3"/>
    <w:rsid w:val="00343480"/>
    <w:rsid w:val="00345E89"/>
    <w:rsid w:val="003522A1"/>
    <w:rsid w:val="0035254B"/>
    <w:rsid w:val="00353555"/>
    <w:rsid w:val="003565D4"/>
    <w:rsid w:val="003607FB"/>
    <w:rsid w:val="00360FD5"/>
    <w:rsid w:val="003611F9"/>
    <w:rsid w:val="003634A5"/>
    <w:rsid w:val="00365247"/>
    <w:rsid w:val="00366868"/>
    <w:rsid w:val="00367506"/>
    <w:rsid w:val="00370031"/>
    <w:rsid w:val="00370085"/>
    <w:rsid w:val="003744A7"/>
    <w:rsid w:val="00376235"/>
    <w:rsid w:val="00381FAB"/>
    <w:rsid w:val="00381FB6"/>
    <w:rsid w:val="003836D3"/>
    <w:rsid w:val="00383A52"/>
    <w:rsid w:val="003847DC"/>
    <w:rsid w:val="003879C9"/>
    <w:rsid w:val="00391652"/>
    <w:rsid w:val="00394503"/>
    <w:rsid w:val="003948A0"/>
    <w:rsid w:val="0039507F"/>
    <w:rsid w:val="003950D5"/>
    <w:rsid w:val="003A1260"/>
    <w:rsid w:val="003A295F"/>
    <w:rsid w:val="003A41DD"/>
    <w:rsid w:val="003A7033"/>
    <w:rsid w:val="003B47FE"/>
    <w:rsid w:val="003B5020"/>
    <w:rsid w:val="003B5673"/>
    <w:rsid w:val="003B62C9"/>
    <w:rsid w:val="003B732B"/>
    <w:rsid w:val="003B7F1C"/>
    <w:rsid w:val="003C0F16"/>
    <w:rsid w:val="003C2ABC"/>
    <w:rsid w:val="003C7176"/>
    <w:rsid w:val="003D0929"/>
    <w:rsid w:val="003D13AF"/>
    <w:rsid w:val="003D4729"/>
    <w:rsid w:val="003D734C"/>
    <w:rsid w:val="003D7DD6"/>
    <w:rsid w:val="003E1700"/>
    <w:rsid w:val="003E5AAF"/>
    <w:rsid w:val="003E600D"/>
    <w:rsid w:val="003E64DF"/>
    <w:rsid w:val="003E6A5D"/>
    <w:rsid w:val="003E7421"/>
    <w:rsid w:val="003F193A"/>
    <w:rsid w:val="003F4207"/>
    <w:rsid w:val="003F5C46"/>
    <w:rsid w:val="003F7CBB"/>
    <w:rsid w:val="003F7D34"/>
    <w:rsid w:val="00412C8E"/>
    <w:rsid w:val="0041518D"/>
    <w:rsid w:val="0042221D"/>
    <w:rsid w:val="00424DD3"/>
    <w:rsid w:val="004269C5"/>
    <w:rsid w:val="00435939"/>
    <w:rsid w:val="00437CC7"/>
    <w:rsid w:val="00442B9C"/>
    <w:rsid w:val="0044738A"/>
    <w:rsid w:val="004473D3"/>
    <w:rsid w:val="00450D19"/>
    <w:rsid w:val="00452231"/>
    <w:rsid w:val="004609C6"/>
    <w:rsid w:val="00460C13"/>
    <w:rsid w:val="00463228"/>
    <w:rsid w:val="00463782"/>
    <w:rsid w:val="00463B38"/>
    <w:rsid w:val="004667E0"/>
    <w:rsid w:val="0046760E"/>
    <w:rsid w:val="00470E10"/>
    <w:rsid w:val="00473368"/>
    <w:rsid w:val="00473FDC"/>
    <w:rsid w:val="00477A97"/>
    <w:rsid w:val="00481343"/>
    <w:rsid w:val="004833F3"/>
    <w:rsid w:val="00483796"/>
    <w:rsid w:val="0048549E"/>
    <w:rsid w:val="00493347"/>
    <w:rsid w:val="00493DBE"/>
    <w:rsid w:val="00496092"/>
    <w:rsid w:val="004A08DB"/>
    <w:rsid w:val="004A25D0"/>
    <w:rsid w:val="004A37E8"/>
    <w:rsid w:val="004A7549"/>
    <w:rsid w:val="004B09D4"/>
    <w:rsid w:val="004B2BDB"/>
    <w:rsid w:val="004B330A"/>
    <w:rsid w:val="004B388C"/>
    <w:rsid w:val="004B7C8E"/>
    <w:rsid w:val="004C4851"/>
    <w:rsid w:val="004C6FA2"/>
    <w:rsid w:val="004D0EDC"/>
    <w:rsid w:val="004D1220"/>
    <w:rsid w:val="004D14B3"/>
    <w:rsid w:val="004D1529"/>
    <w:rsid w:val="004D2253"/>
    <w:rsid w:val="004D5514"/>
    <w:rsid w:val="004D56C3"/>
    <w:rsid w:val="004E0338"/>
    <w:rsid w:val="004E4FF3"/>
    <w:rsid w:val="004E56A8"/>
    <w:rsid w:val="004F3B55"/>
    <w:rsid w:val="004F4E46"/>
    <w:rsid w:val="004F6B7D"/>
    <w:rsid w:val="005015F6"/>
    <w:rsid w:val="005030C4"/>
    <w:rsid w:val="005031C5"/>
    <w:rsid w:val="00504FDC"/>
    <w:rsid w:val="0050771E"/>
    <w:rsid w:val="00507A30"/>
    <w:rsid w:val="005120CC"/>
    <w:rsid w:val="00512B7B"/>
    <w:rsid w:val="00514EA1"/>
    <w:rsid w:val="00516AAB"/>
    <w:rsid w:val="0051798B"/>
    <w:rsid w:val="00521F5A"/>
    <w:rsid w:val="00525E06"/>
    <w:rsid w:val="00526454"/>
    <w:rsid w:val="00531823"/>
    <w:rsid w:val="005340CF"/>
    <w:rsid w:val="00534ECC"/>
    <w:rsid w:val="00535592"/>
    <w:rsid w:val="0053720D"/>
    <w:rsid w:val="00540EF5"/>
    <w:rsid w:val="00541BF3"/>
    <w:rsid w:val="00541CD3"/>
    <w:rsid w:val="005421B4"/>
    <w:rsid w:val="00543A29"/>
    <w:rsid w:val="005476FA"/>
    <w:rsid w:val="00552B3E"/>
    <w:rsid w:val="005530BF"/>
    <w:rsid w:val="0055595E"/>
    <w:rsid w:val="00557988"/>
    <w:rsid w:val="00562C49"/>
    <w:rsid w:val="00562DEF"/>
    <w:rsid w:val="00563A35"/>
    <w:rsid w:val="005663F1"/>
    <w:rsid w:val="00566596"/>
    <w:rsid w:val="005741E9"/>
    <w:rsid w:val="00574444"/>
    <w:rsid w:val="005748CF"/>
    <w:rsid w:val="00580F8A"/>
    <w:rsid w:val="00582EC7"/>
    <w:rsid w:val="00584270"/>
    <w:rsid w:val="00584738"/>
    <w:rsid w:val="005920B0"/>
    <w:rsid w:val="005922B2"/>
    <w:rsid w:val="0059380D"/>
    <w:rsid w:val="00595A8F"/>
    <w:rsid w:val="00597BF2"/>
    <w:rsid w:val="005B0C10"/>
    <w:rsid w:val="005B134E"/>
    <w:rsid w:val="005B2039"/>
    <w:rsid w:val="005B344F"/>
    <w:rsid w:val="005B3FBA"/>
    <w:rsid w:val="005B4A1D"/>
    <w:rsid w:val="005B5261"/>
    <w:rsid w:val="005B674D"/>
    <w:rsid w:val="005C0CBE"/>
    <w:rsid w:val="005C1FCF"/>
    <w:rsid w:val="005C76D7"/>
    <w:rsid w:val="005D1885"/>
    <w:rsid w:val="005D4A38"/>
    <w:rsid w:val="005E2EEA"/>
    <w:rsid w:val="005E309E"/>
    <w:rsid w:val="005E3708"/>
    <w:rsid w:val="005E3CCD"/>
    <w:rsid w:val="005E3D6B"/>
    <w:rsid w:val="005E5E4A"/>
    <w:rsid w:val="005E693D"/>
    <w:rsid w:val="005E75BF"/>
    <w:rsid w:val="005F57BA"/>
    <w:rsid w:val="005F61E6"/>
    <w:rsid w:val="005F6C45"/>
    <w:rsid w:val="00605A69"/>
    <w:rsid w:val="00606C54"/>
    <w:rsid w:val="00614375"/>
    <w:rsid w:val="00615B0A"/>
    <w:rsid w:val="006168CF"/>
    <w:rsid w:val="0062011B"/>
    <w:rsid w:val="00626DE0"/>
    <w:rsid w:val="00630901"/>
    <w:rsid w:val="00631E46"/>
    <w:rsid w:val="00631F8E"/>
    <w:rsid w:val="00636EE9"/>
    <w:rsid w:val="00640950"/>
    <w:rsid w:val="00641AE7"/>
    <w:rsid w:val="00642629"/>
    <w:rsid w:val="00652761"/>
    <w:rsid w:val="0065293D"/>
    <w:rsid w:val="00653EFC"/>
    <w:rsid w:val="00654021"/>
    <w:rsid w:val="00661045"/>
    <w:rsid w:val="00666DA8"/>
    <w:rsid w:val="00671057"/>
    <w:rsid w:val="00675AAF"/>
    <w:rsid w:val="0068031A"/>
    <w:rsid w:val="0068086F"/>
    <w:rsid w:val="00681B2F"/>
    <w:rsid w:val="0068335F"/>
    <w:rsid w:val="00683E8E"/>
    <w:rsid w:val="00693302"/>
    <w:rsid w:val="00694DF5"/>
    <w:rsid w:val="0069640B"/>
    <w:rsid w:val="006A1B83"/>
    <w:rsid w:val="006A21CD"/>
    <w:rsid w:val="006A5918"/>
    <w:rsid w:val="006B21B2"/>
    <w:rsid w:val="006B4A4A"/>
    <w:rsid w:val="006B5359"/>
    <w:rsid w:val="006C19B2"/>
    <w:rsid w:val="006C4D47"/>
    <w:rsid w:val="006C5BB8"/>
    <w:rsid w:val="006C6936"/>
    <w:rsid w:val="006C788A"/>
    <w:rsid w:val="006C7B01"/>
    <w:rsid w:val="006D0FE8"/>
    <w:rsid w:val="006D4438"/>
    <w:rsid w:val="006D4B2B"/>
    <w:rsid w:val="006D4F3C"/>
    <w:rsid w:val="006D5C66"/>
    <w:rsid w:val="006E1B3C"/>
    <w:rsid w:val="006E23FB"/>
    <w:rsid w:val="006E2D00"/>
    <w:rsid w:val="006E325A"/>
    <w:rsid w:val="006E33EC"/>
    <w:rsid w:val="006E3802"/>
    <w:rsid w:val="006E6C02"/>
    <w:rsid w:val="006F231A"/>
    <w:rsid w:val="006F788D"/>
    <w:rsid w:val="006F78E1"/>
    <w:rsid w:val="00701072"/>
    <w:rsid w:val="00702054"/>
    <w:rsid w:val="007035A4"/>
    <w:rsid w:val="00711799"/>
    <w:rsid w:val="00712B78"/>
    <w:rsid w:val="0071393B"/>
    <w:rsid w:val="00713EE2"/>
    <w:rsid w:val="007177FC"/>
    <w:rsid w:val="00720C5E"/>
    <w:rsid w:val="00721701"/>
    <w:rsid w:val="0072523C"/>
    <w:rsid w:val="00731835"/>
    <w:rsid w:val="007341F8"/>
    <w:rsid w:val="00734372"/>
    <w:rsid w:val="00734EB8"/>
    <w:rsid w:val="007350D0"/>
    <w:rsid w:val="00735F8B"/>
    <w:rsid w:val="0074071E"/>
    <w:rsid w:val="00742D1F"/>
    <w:rsid w:val="00743EBA"/>
    <w:rsid w:val="00744C8E"/>
    <w:rsid w:val="0074707E"/>
    <w:rsid w:val="007516DC"/>
    <w:rsid w:val="00754B80"/>
    <w:rsid w:val="00761918"/>
    <w:rsid w:val="00762F03"/>
    <w:rsid w:val="0076413B"/>
    <w:rsid w:val="007648AE"/>
    <w:rsid w:val="00764BF8"/>
    <w:rsid w:val="0076514D"/>
    <w:rsid w:val="00767AAC"/>
    <w:rsid w:val="007735A4"/>
    <w:rsid w:val="00773D59"/>
    <w:rsid w:val="00776387"/>
    <w:rsid w:val="00781003"/>
    <w:rsid w:val="00782F06"/>
    <w:rsid w:val="00790B81"/>
    <w:rsid w:val="007911FD"/>
    <w:rsid w:val="00793930"/>
    <w:rsid w:val="00793DD1"/>
    <w:rsid w:val="007941B3"/>
    <w:rsid w:val="00794FEC"/>
    <w:rsid w:val="007A003E"/>
    <w:rsid w:val="007A1965"/>
    <w:rsid w:val="007A2ED1"/>
    <w:rsid w:val="007A4515"/>
    <w:rsid w:val="007A4BE6"/>
    <w:rsid w:val="007B0DC6"/>
    <w:rsid w:val="007B1094"/>
    <w:rsid w:val="007B1762"/>
    <w:rsid w:val="007B3320"/>
    <w:rsid w:val="007B7385"/>
    <w:rsid w:val="007C301F"/>
    <w:rsid w:val="007C4540"/>
    <w:rsid w:val="007C65AF"/>
    <w:rsid w:val="007D135D"/>
    <w:rsid w:val="007D3B6E"/>
    <w:rsid w:val="007D730F"/>
    <w:rsid w:val="007D7CD8"/>
    <w:rsid w:val="007E3AA7"/>
    <w:rsid w:val="007E5CF0"/>
    <w:rsid w:val="007F3E04"/>
    <w:rsid w:val="007F737D"/>
    <w:rsid w:val="0080308E"/>
    <w:rsid w:val="00806705"/>
    <w:rsid w:val="00806738"/>
    <w:rsid w:val="008216D5"/>
    <w:rsid w:val="008249CE"/>
    <w:rsid w:val="00831A50"/>
    <w:rsid w:val="00831B3C"/>
    <w:rsid w:val="00831C89"/>
    <w:rsid w:val="00832114"/>
    <w:rsid w:val="00834C46"/>
    <w:rsid w:val="00835C59"/>
    <w:rsid w:val="0083665E"/>
    <w:rsid w:val="0084093E"/>
    <w:rsid w:val="00841CE1"/>
    <w:rsid w:val="008443D5"/>
    <w:rsid w:val="00844CC5"/>
    <w:rsid w:val="008452FC"/>
    <w:rsid w:val="008473D8"/>
    <w:rsid w:val="008528DC"/>
    <w:rsid w:val="00852B8C"/>
    <w:rsid w:val="00854981"/>
    <w:rsid w:val="00864B2E"/>
    <w:rsid w:val="00865963"/>
    <w:rsid w:val="0087450E"/>
    <w:rsid w:val="00875A82"/>
    <w:rsid w:val="00876CA3"/>
    <w:rsid w:val="008772FE"/>
    <w:rsid w:val="008775F1"/>
    <w:rsid w:val="008821AE"/>
    <w:rsid w:val="00883D3A"/>
    <w:rsid w:val="008854F7"/>
    <w:rsid w:val="00885A9D"/>
    <w:rsid w:val="008879E9"/>
    <w:rsid w:val="008929D2"/>
    <w:rsid w:val="00893636"/>
    <w:rsid w:val="00893B94"/>
    <w:rsid w:val="00896E9D"/>
    <w:rsid w:val="00896F11"/>
    <w:rsid w:val="008A0482"/>
    <w:rsid w:val="008A1049"/>
    <w:rsid w:val="008A1C98"/>
    <w:rsid w:val="008A322D"/>
    <w:rsid w:val="008A4D72"/>
    <w:rsid w:val="008A6285"/>
    <w:rsid w:val="008A63B2"/>
    <w:rsid w:val="008B12F5"/>
    <w:rsid w:val="008B345D"/>
    <w:rsid w:val="008B36C4"/>
    <w:rsid w:val="008C1FC2"/>
    <w:rsid w:val="008C2980"/>
    <w:rsid w:val="008C562B"/>
    <w:rsid w:val="008C5AFB"/>
    <w:rsid w:val="008D07FB"/>
    <w:rsid w:val="008D0C02"/>
    <w:rsid w:val="008D357D"/>
    <w:rsid w:val="008D44D0"/>
    <w:rsid w:val="008D58CB"/>
    <w:rsid w:val="008E267E"/>
    <w:rsid w:val="008E387B"/>
    <w:rsid w:val="008E6087"/>
    <w:rsid w:val="008E758D"/>
    <w:rsid w:val="008F10A7"/>
    <w:rsid w:val="008F5BB5"/>
    <w:rsid w:val="008F755D"/>
    <w:rsid w:val="008F7A39"/>
    <w:rsid w:val="00900F66"/>
    <w:rsid w:val="009021E8"/>
    <w:rsid w:val="00903A06"/>
    <w:rsid w:val="00911440"/>
    <w:rsid w:val="00911712"/>
    <w:rsid w:val="00911B27"/>
    <w:rsid w:val="009170BE"/>
    <w:rsid w:val="00920B55"/>
    <w:rsid w:val="009262C9"/>
    <w:rsid w:val="00930EB9"/>
    <w:rsid w:val="00933DC7"/>
    <w:rsid w:val="009418F4"/>
    <w:rsid w:val="00942BBC"/>
    <w:rsid w:val="00944180"/>
    <w:rsid w:val="00944AA0"/>
    <w:rsid w:val="00947DA2"/>
    <w:rsid w:val="00951177"/>
    <w:rsid w:val="00961E82"/>
    <w:rsid w:val="009673E8"/>
    <w:rsid w:val="0097077A"/>
    <w:rsid w:val="00974A19"/>
    <w:rsid w:val="00974DB8"/>
    <w:rsid w:val="00980661"/>
    <w:rsid w:val="0098093B"/>
    <w:rsid w:val="009876D4"/>
    <w:rsid w:val="009914A5"/>
    <w:rsid w:val="009932EA"/>
    <w:rsid w:val="009952E1"/>
    <w:rsid w:val="0099548E"/>
    <w:rsid w:val="00996456"/>
    <w:rsid w:val="00996A12"/>
    <w:rsid w:val="00997B0F"/>
    <w:rsid w:val="009A1CAD"/>
    <w:rsid w:val="009A3440"/>
    <w:rsid w:val="009A5832"/>
    <w:rsid w:val="009A6838"/>
    <w:rsid w:val="009B24B5"/>
    <w:rsid w:val="009B4EBC"/>
    <w:rsid w:val="009B5ABB"/>
    <w:rsid w:val="009B73CE"/>
    <w:rsid w:val="009C2461"/>
    <w:rsid w:val="009C6FE2"/>
    <w:rsid w:val="009C7674"/>
    <w:rsid w:val="009D004A"/>
    <w:rsid w:val="009D5880"/>
    <w:rsid w:val="009E3B07"/>
    <w:rsid w:val="009E51D1"/>
    <w:rsid w:val="009E5531"/>
    <w:rsid w:val="009F0383"/>
    <w:rsid w:val="009F171E"/>
    <w:rsid w:val="009F3D2F"/>
    <w:rsid w:val="009F5446"/>
    <w:rsid w:val="009F7052"/>
    <w:rsid w:val="00A02668"/>
    <w:rsid w:val="00A02801"/>
    <w:rsid w:val="00A06A39"/>
    <w:rsid w:val="00A07F58"/>
    <w:rsid w:val="00A131CB"/>
    <w:rsid w:val="00A142AA"/>
    <w:rsid w:val="00A14847"/>
    <w:rsid w:val="00A16D6D"/>
    <w:rsid w:val="00A21383"/>
    <w:rsid w:val="00A2199F"/>
    <w:rsid w:val="00A21B31"/>
    <w:rsid w:val="00A2360E"/>
    <w:rsid w:val="00A24F4F"/>
    <w:rsid w:val="00A26E0C"/>
    <w:rsid w:val="00A32FCB"/>
    <w:rsid w:val="00A34C25"/>
    <w:rsid w:val="00A3507D"/>
    <w:rsid w:val="00A3717A"/>
    <w:rsid w:val="00A4088C"/>
    <w:rsid w:val="00A42976"/>
    <w:rsid w:val="00A4456B"/>
    <w:rsid w:val="00A448D4"/>
    <w:rsid w:val="00A452E0"/>
    <w:rsid w:val="00A51EA5"/>
    <w:rsid w:val="00A53742"/>
    <w:rsid w:val="00A557A1"/>
    <w:rsid w:val="00A559E2"/>
    <w:rsid w:val="00A63059"/>
    <w:rsid w:val="00A63AE3"/>
    <w:rsid w:val="00A651A4"/>
    <w:rsid w:val="00A70283"/>
    <w:rsid w:val="00A71361"/>
    <w:rsid w:val="00A746E2"/>
    <w:rsid w:val="00A74DB1"/>
    <w:rsid w:val="00A81FF2"/>
    <w:rsid w:val="00A83904"/>
    <w:rsid w:val="00A86B02"/>
    <w:rsid w:val="00A90A79"/>
    <w:rsid w:val="00A918A2"/>
    <w:rsid w:val="00A96B30"/>
    <w:rsid w:val="00AA0795"/>
    <w:rsid w:val="00AA59B5"/>
    <w:rsid w:val="00AA7777"/>
    <w:rsid w:val="00AA7B84"/>
    <w:rsid w:val="00AB7378"/>
    <w:rsid w:val="00AC0B4C"/>
    <w:rsid w:val="00AC1164"/>
    <w:rsid w:val="00AC2296"/>
    <w:rsid w:val="00AC2754"/>
    <w:rsid w:val="00AC48B0"/>
    <w:rsid w:val="00AC4ACD"/>
    <w:rsid w:val="00AC5DFB"/>
    <w:rsid w:val="00AD13DC"/>
    <w:rsid w:val="00AD6DE2"/>
    <w:rsid w:val="00AE01EB"/>
    <w:rsid w:val="00AE0A40"/>
    <w:rsid w:val="00AE1ED4"/>
    <w:rsid w:val="00AE21E1"/>
    <w:rsid w:val="00AE2F8D"/>
    <w:rsid w:val="00AE3BAE"/>
    <w:rsid w:val="00AE6A21"/>
    <w:rsid w:val="00AF1C8F"/>
    <w:rsid w:val="00AF2B68"/>
    <w:rsid w:val="00AF2C92"/>
    <w:rsid w:val="00AF3EC1"/>
    <w:rsid w:val="00AF5025"/>
    <w:rsid w:val="00AF519F"/>
    <w:rsid w:val="00AF5387"/>
    <w:rsid w:val="00AF55F5"/>
    <w:rsid w:val="00AF7E86"/>
    <w:rsid w:val="00B024B9"/>
    <w:rsid w:val="00B03E4A"/>
    <w:rsid w:val="00B077FA"/>
    <w:rsid w:val="00B10D0E"/>
    <w:rsid w:val="00B1187E"/>
    <w:rsid w:val="00B127D7"/>
    <w:rsid w:val="00B13B0C"/>
    <w:rsid w:val="00B1453A"/>
    <w:rsid w:val="00B20F82"/>
    <w:rsid w:val="00B25BD5"/>
    <w:rsid w:val="00B30597"/>
    <w:rsid w:val="00B33B64"/>
    <w:rsid w:val="00B34079"/>
    <w:rsid w:val="00B3793A"/>
    <w:rsid w:val="00B401BA"/>
    <w:rsid w:val="00B407E4"/>
    <w:rsid w:val="00B42297"/>
    <w:rsid w:val="00B425B6"/>
    <w:rsid w:val="00B42A72"/>
    <w:rsid w:val="00B441AE"/>
    <w:rsid w:val="00B444F1"/>
    <w:rsid w:val="00B45F33"/>
    <w:rsid w:val="00B46D50"/>
    <w:rsid w:val="00B510D7"/>
    <w:rsid w:val="00B53170"/>
    <w:rsid w:val="00B62999"/>
    <w:rsid w:val="00B63BE3"/>
    <w:rsid w:val="00B64885"/>
    <w:rsid w:val="00B66810"/>
    <w:rsid w:val="00B72BE3"/>
    <w:rsid w:val="00B7345E"/>
    <w:rsid w:val="00B73B80"/>
    <w:rsid w:val="00B74EF0"/>
    <w:rsid w:val="00B770C7"/>
    <w:rsid w:val="00B80C96"/>
    <w:rsid w:val="00B80F26"/>
    <w:rsid w:val="00B822BD"/>
    <w:rsid w:val="00B842F4"/>
    <w:rsid w:val="00B91A7B"/>
    <w:rsid w:val="00B929DD"/>
    <w:rsid w:val="00B95405"/>
    <w:rsid w:val="00B963F1"/>
    <w:rsid w:val="00BA020A"/>
    <w:rsid w:val="00BB02A4"/>
    <w:rsid w:val="00BB0FAD"/>
    <w:rsid w:val="00BB1270"/>
    <w:rsid w:val="00BB1E44"/>
    <w:rsid w:val="00BB46B7"/>
    <w:rsid w:val="00BB5267"/>
    <w:rsid w:val="00BB52B8"/>
    <w:rsid w:val="00BB59D8"/>
    <w:rsid w:val="00BB7E69"/>
    <w:rsid w:val="00BC3C1F"/>
    <w:rsid w:val="00BC7CE7"/>
    <w:rsid w:val="00BD295E"/>
    <w:rsid w:val="00BD36F8"/>
    <w:rsid w:val="00BD4664"/>
    <w:rsid w:val="00BD4EF5"/>
    <w:rsid w:val="00BE1193"/>
    <w:rsid w:val="00BE29D7"/>
    <w:rsid w:val="00BE5918"/>
    <w:rsid w:val="00BF2E6D"/>
    <w:rsid w:val="00BF4849"/>
    <w:rsid w:val="00BF4EA7"/>
    <w:rsid w:val="00BF7E61"/>
    <w:rsid w:val="00C00EDB"/>
    <w:rsid w:val="00C02863"/>
    <w:rsid w:val="00C0383A"/>
    <w:rsid w:val="00C067FF"/>
    <w:rsid w:val="00C12862"/>
    <w:rsid w:val="00C13D28"/>
    <w:rsid w:val="00C14585"/>
    <w:rsid w:val="00C15169"/>
    <w:rsid w:val="00C165A0"/>
    <w:rsid w:val="00C21277"/>
    <w:rsid w:val="00C216CE"/>
    <w:rsid w:val="00C2184F"/>
    <w:rsid w:val="00C22A78"/>
    <w:rsid w:val="00C23C7E"/>
    <w:rsid w:val="00C246C5"/>
    <w:rsid w:val="00C25A82"/>
    <w:rsid w:val="00C30A2A"/>
    <w:rsid w:val="00C33993"/>
    <w:rsid w:val="00C365F9"/>
    <w:rsid w:val="00C4069E"/>
    <w:rsid w:val="00C41ADC"/>
    <w:rsid w:val="00C420F6"/>
    <w:rsid w:val="00C44149"/>
    <w:rsid w:val="00C44410"/>
    <w:rsid w:val="00C44A15"/>
    <w:rsid w:val="00C4630A"/>
    <w:rsid w:val="00C523F0"/>
    <w:rsid w:val="00C526D2"/>
    <w:rsid w:val="00C5794E"/>
    <w:rsid w:val="00C60968"/>
    <w:rsid w:val="00C63D39"/>
    <w:rsid w:val="00C63EDD"/>
    <w:rsid w:val="00C65B36"/>
    <w:rsid w:val="00C70C8E"/>
    <w:rsid w:val="00C7292E"/>
    <w:rsid w:val="00C74E88"/>
    <w:rsid w:val="00C80924"/>
    <w:rsid w:val="00C8286B"/>
    <w:rsid w:val="00C947F8"/>
    <w:rsid w:val="00C9515F"/>
    <w:rsid w:val="00C963C5"/>
    <w:rsid w:val="00CA030C"/>
    <w:rsid w:val="00CA14A8"/>
    <w:rsid w:val="00CA1F41"/>
    <w:rsid w:val="00CA32EE"/>
    <w:rsid w:val="00CA6A1A"/>
    <w:rsid w:val="00CC1E75"/>
    <w:rsid w:val="00CC2E0E"/>
    <w:rsid w:val="00CC361C"/>
    <w:rsid w:val="00CC474B"/>
    <w:rsid w:val="00CC658C"/>
    <w:rsid w:val="00CC67BF"/>
    <w:rsid w:val="00CD0843"/>
    <w:rsid w:val="00CD43AD"/>
    <w:rsid w:val="00CD5A78"/>
    <w:rsid w:val="00CD7345"/>
    <w:rsid w:val="00CE372E"/>
    <w:rsid w:val="00CF0A1B"/>
    <w:rsid w:val="00CF19F6"/>
    <w:rsid w:val="00CF1DAD"/>
    <w:rsid w:val="00CF2F4F"/>
    <w:rsid w:val="00CF536D"/>
    <w:rsid w:val="00D10CB8"/>
    <w:rsid w:val="00D12806"/>
    <w:rsid w:val="00D12D44"/>
    <w:rsid w:val="00D15018"/>
    <w:rsid w:val="00D158AC"/>
    <w:rsid w:val="00D1694C"/>
    <w:rsid w:val="00D20F5E"/>
    <w:rsid w:val="00D2221F"/>
    <w:rsid w:val="00D23B76"/>
    <w:rsid w:val="00D379A3"/>
    <w:rsid w:val="00D43272"/>
    <w:rsid w:val="00D45FF3"/>
    <w:rsid w:val="00D478C9"/>
    <w:rsid w:val="00D512CF"/>
    <w:rsid w:val="00D528B9"/>
    <w:rsid w:val="00D53186"/>
    <w:rsid w:val="00D5487D"/>
    <w:rsid w:val="00D60140"/>
    <w:rsid w:val="00D6024A"/>
    <w:rsid w:val="00D608B5"/>
    <w:rsid w:val="00D666E6"/>
    <w:rsid w:val="00D7116C"/>
    <w:rsid w:val="00D71F99"/>
    <w:rsid w:val="00D73CA4"/>
    <w:rsid w:val="00D73D71"/>
    <w:rsid w:val="00D7430A"/>
    <w:rsid w:val="00D74396"/>
    <w:rsid w:val="00D80284"/>
    <w:rsid w:val="00D81F71"/>
    <w:rsid w:val="00D8642D"/>
    <w:rsid w:val="00D90A5E"/>
    <w:rsid w:val="00D91A68"/>
    <w:rsid w:val="00D95A68"/>
    <w:rsid w:val="00DA17C7"/>
    <w:rsid w:val="00DA6A9A"/>
    <w:rsid w:val="00DB1EFD"/>
    <w:rsid w:val="00DB266D"/>
    <w:rsid w:val="00DB2890"/>
    <w:rsid w:val="00DB3EAF"/>
    <w:rsid w:val="00DC1244"/>
    <w:rsid w:val="00DC1828"/>
    <w:rsid w:val="00DC3203"/>
    <w:rsid w:val="00DC3C99"/>
    <w:rsid w:val="00DC52F5"/>
    <w:rsid w:val="00DC5B61"/>
    <w:rsid w:val="00DC5FD0"/>
    <w:rsid w:val="00DD0354"/>
    <w:rsid w:val="00DD27D7"/>
    <w:rsid w:val="00DD458C"/>
    <w:rsid w:val="00DD4C73"/>
    <w:rsid w:val="00DD5A89"/>
    <w:rsid w:val="00DD66FD"/>
    <w:rsid w:val="00DD72E9"/>
    <w:rsid w:val="00DD7605"/>
    <w:rsid w:val="00DE2020"/>
    <w:rsid w:val="00DE298D"/>
    <w:rsid w:val="00DE3476"/>
    <w:rsid w:val="00DF25D9"/>
    <w:rsid w:val="00DF5B84"/>
    <w:rsid w:val="00DF6D5B"/>
    <w:rsid w:val="00DF771B"/>
    <w:rsid w:val="00DF7EE2"/>
    <w:rsid w:val="00E01AE0"/>
    <w:rsid w:val="00E01BAA"/>
    <w:rsid w:val="00E0282A"/>
    <w:rsid w:val="00E07E14"/>
    <w:rsid w:val="00E14F94"/>
    <w:rsid w:val="00E17336"/>
    <w:rsid w:val="00E17D15"/>
    <w:rsid w:val="00E22B95"/>
    <w:rsid w:val="00E30331"/>
    <w:rsid w:val="00E30BB8"/>
    <w:rsid w:val="00E31F9C"/>
    <w:rsid w:val="00E40488"/>
    <w:rsid w:val="00E44B2A"/>
    <w:rsid w:val="00E47900"/>
    <w:rsid w:val="00E47BAC"/>
    <w:rsid w:val="00E50367"/>
    <w:rsid w:val="00E516D6"/>
    <w:rsid w:val="00E51ABA"/>
    <w:rsid w:val="00E524CB"/>
    <w:rsid w:val="00E63022"/>
    <w:rsid w:val="00E6307E"/>
    <w:rsid w:val="00E65456"/>
    <w:rsid w:val="00E65A91"/>
    <w:rsid w:val="00E66188"/>
    <w:rsid w:val="00E664FB"/>
    <w:rsid w:val="00E70373"/>
    <w:rsid w:val="00E72E40"/>
    <w:rsid w:val="00E73665"/>
    <w:rsid w:val="00E73999"/>
    <w:rsid w:val="00E73BDC"/>
    <w:rsid w:val="00E73E9E"/>
    <w:rsid w:val="00E77DB9"/>
    <w:rsid w:val="00E81660"/>
    <w:rsid w:val="00E85038"/>
    <w:rsid w:val="00E854FE"/>
    <w:rsid w:val="00E906CC"/>
    <w:rsid w:val="00E91B5B"/>
    <w:rsid w:val="00E931CC"/>
    <w:rsid w:val="00E939A0"/>
    <w:rsid w:val="00E959C2"/>
    <w:rsid w:val="00E97E4E"/>
    <w:rsid w:val="00EA1CC2"/>
    <w:rsid w:val="00EA2D76"/>
    <w:rsid w:val="00EA4644"/>
    <w:rsid w:val="00EA758A"/>
    <w:rsid w:val="00EB199F"/>
    <w:rsid w:val="00EB1B74"/>
    <w:rsid w:val="00EB27C4"/>
    <w:rsid w:val="00EB4128"/>
    <w:rsid w:val="00EB5387"/>
    <w:rsid w:val="00EB5C10"/>
    <w:rsid w:val="00EB7322"/>
    <w:rsid w:val="00EC0FE9"/>
    <w:rsid w:val="00EC1309"/>
    <w:rsid w:val="00EC1628"/>
    <w:rsid w:val="00EC2631"/>
    <w:rsid w:val="00EC426D"/>
    <w:rsid w:val="00EC571B"/>
    <w:rsid w:val="00EC57D7"/>
    <w:rsid w:val="00EC6385"/>
    <w:rsid w:val="00ED1DE9"/>
    <w:rsid w:val="00ED23D4"/>
    <w:rsid w:val="00ED34E3"/>
    <w:rsid w:val="00ED5E0B"/>
    <w:rsid w:val="00ED74CA"/>
    <w:rsid w:val="00EE2EFA"/>
    <w:rsid w:val="00EE37B6"/>
    <w:rsid w:val="00EF0597"/>
    <w:rsid w:val="00EF0F45"/>
    <w:rsid w:val="00EF7463"/>
    <w:rsid w:val="00EF76EF"/>
    <w:rsid w:val="00F002EF"/>
    <w:rsid w:val="00F01EE9"/>
    <w:rsid w:val="00F02F94"/>
    <w:rsid w:val="00F039FD"/>
    <w:rsid w:val="00F04900"/>
    <w:rsid w:val="00F04C78"/>
    <w:rsid w:val="00F065A4"/>
    <w:rsid w:val="00F126B9"/>
    <w:rsid w:val="00F12715"/>
    <w:rsid w:val="00F144D5"/>
    <w:rsid w:val="00F146F0"/>
    <w:rsid w:val="00F15039"/>
    <w:rsid w:val="00F20FF3"/>
    <w:rsid w:val="00F2190B"/>
    <w:rsid w:val="00F228B5"/>
    <w:rsid w:val="00F2389C"/>
    <w:rsid w:val="00F25C67"/>
    <w:rsid w:val="00F27BE8"/>
    <w:rsid w:val="00F30DFF"/>
    <w:rsid w:val="00F32B80"/>
    <w:rsid w:val="00F340EB"/>
    <w:rsid w:val="00F35285"/>
    <w:rsid w:val="00F433EF"/>
    <w:rsid w:val="00F434DE"/>
    <w:rsid w:val="00F43B9D"/>
    <w:rsid w:val="00F44D5E"/>
    <w:rsid w:val="00F46E4D"/>
    <w:rsid w:val="00F471B2"/>
    <w:rsid w:val="00F51E32"/>
    <w:rsid w:val="00F53A35"/>
    <w:rsid w:val="00F55A3D"/>
    <w:rsid w:val="00F5744B"/>
    <w:rsid w:val="00F579AE"/>
    <w:rsid w:val="00F61209"/>
    <w:rsid w:val="00F6232B"/>
    <w:rsid w:val="00F6259E"/>
    <w:rsid w:val="00F64941"/>
    <w:rsid w:val="00F65DD4"/>
    <w:rsid w:val="00F672B2"/>
    <w:rsid w:val="00F779EC"/>
    <w:rsid w:val="00F83973"/>
    <w:rsid w:val="00F84FD1"/>
    <w:rsid w:val="00F87FA3"/>
    <w:rsid w:val="00F93D8C"/>
    <w:rsid w:val="00F96D51"/>
    <w:rsid w:val="00FA3102"/>
    <w:rsid w:val="00FA3733"/>
    <w:rsid w:val="00FA48D4"/>
    <w:rsid w:val="00FA54FA"/>
    <w:rsid w:val="00FB178E"/>
    <w:rsid w:val="00FB1F80"/>
    <w:rsid w:val="00FB227E"/>
    <w:rsid w:val="00FB3D61"/>
    <w:rsid w:val="00FB44CE"/>
    <w:rsid w:val="00FB5009"/>
    <w:rsid w:val="00FB76AB"/>
    <w:rsid w:val="00FD03FE"/>
    <w:rsid w:val="00FD126E"/>
    <w:rsid w:val="00FD3C36"/>
    <w:rsid w:val="00FD4D81"/>
    <w:rsid w:val="00FD6AB2"/>
    <w:rsid w:val="00FD7498"/>
    <w:rsid w:val="00FD7FB3"/>
    <w:rsid w:val="00FE038B"/>
    <w:rsid w:val="00FE26C7"/>
    <w:rsid w:val="00FE4713"/>
    <w:rsid w:val="00FE5DB3"/>
    <w:rsid w:val="00FF1F44"/>
    <w:rsid w:val="00FF225E"/>
    <w:rsid w:val="00FF672C"/>
    <w:rsid w:val="00FF6CE8"/>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C13554B"/>
  <w15:docId w15:val="{340D49F1-E21C-2A46-A2FB-559AF41FC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5" w:semiHidden="1" w:unhideWhenUsed="1"/>
    <w:lsdException w:name="List Bullet 2"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91B5B"/>
    <w:pPr>
      <w:spacing w:line="480" w:lineRule="auto"/>
    </w:pPr>
    <w:rPr>
      <w:sz w:val="24"/>
      <w:szCs w:val="24"/>
    </w:rPr>
  </w:style>
  <w:style w:type="paragraph" w:styleId="Heading1">
    <w:name w:val="heading 1"/>
    <w:basedOn w:val="Normal"/>
    <w:next w:val="Paragraph"/>
    <w:link w:val="Heading1Char"/>
    <w:qFormat/>
    <w:rsid w:val="00AE1ED4"/>
    <w:pPr>
      <w:keepNext/>
      <w:spacing w:before="360" w:after="60" w:line="360" w:lineRule="auto"/>
      <w:ind w:right="567"/>
      <w:contextualSpacing/>
      <w:outlineLvl w:val="0"/>
    </w:pPr>
    <w:rPr>
      <w:rFonts w:cs="Arial"/>
      <w:b/>
      <w:bCs/>
      <w:kern w:val="32"/>
      <w:szCs w:val="32"/>
    </w:rPr>
  </w:style>
  <w:style w:type="paragraph" w:styleId="Heading2">
    <w:name w:val="heading 2"/>
    <w:basedOn w:val="Normal"/>
    <w:next w:val="Paragraph"/>
    <w:link w:val="Heading2Char"/>
    <w:qFormat/>
    <w:rsid w:val="008D07FB"/>
    <w:pPr>
      <w:keepNext/>
      <w:spacing w:before="360" w:after="60" w:line="360" w:lineRule="auto"/>
      <w:ind w:right="567"/>
      <w:contextualSpacing/>
      <w:outlineLvl w:val="1"/>
    </w:pPr>
    <w:rPr>
      <w:rFonts w:cs="Arial"/>
      <w:b/>
      <w:bCs/>
      <w:i/>
      <w:iCs/>
      <w:szCs w:val="28"/>
    </w:rPr>
  </w:style>
  <w:style w:type="paragraph" w:styleId="Heading3">
    <w:name w:val="heading 3"/>
    <w:basedOn w:val="Normal"/>
    <w:next w:val="Paragraph"/>
    <w:link w:val="Heading3Char"/>
    <w:qFormat/>
    <w:rsid w:val="00DF7EE2"/>
    <w:pPr>
      <w:keepNext/>
      <w:spacing w:before="360" w:after="60" w:line="360" w:lineRule="auto"/>
      <w:ind w:right="567"/>
      <w:contextualSpacing/>
      <w:outlineLvl w:val="2"/>
    </w:pPr>
    <w:rPr>
      <w:rFonts w:cs="Arial"/>
      <w:bCs/>
      <w:i/>
      <w:szCs w:val="26"/>
    </w:rPr>
  </w:style>
  <w:style w:type="paragraph" w:styleId="Heading4">
    <w:name w:val="heading 4"/>
    <w:basedOn w:val="Paragraph"/>
    <w:next w:val="Newparagraph"/>
    <w:link w:val="Heading4Char"/>
    <w:qFormat/>
    <w:rsid w:val="00F43B9D"/>
    <w:pPr>
      <w:spacing w:before="360"/>
      <w:outlineLvl w:val="3"/>
    </w:pPr>
    <w:rPr>
      <w:bCs/>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basedOn w:val="Normal"/>
    <w:next w:val="Newparagraph"/>
    <w:qFormat/>
    <w:rsid w:val="00FE038B"/>
    <w:pPr>
      <w:widowControl w:val="0"/>
      <w:spacing w:before="240" w:line="360" w:lineRule="auto"/>
    </w:pPr>
  </w:style>
  <w:style w:type="paragraph" w:customStyle="1" w:styleId="Newparagraph">
    <w:name w:val="New paragraph"/>
    <w:basedOn w:val="Normal"/>
    <w:qFormat/>
    <w:rsid w:val="00FE038B"/>
    <w:pPr>
      <w:spacing w:line="360" w:lineRule="auto"/>
      <w:ind w:firstLine="720"/>
    </w:pPr>
  </w:style>
  <w:style w:type="character" w:customStyle="1" w:styleId="Heading1Char">
    <w:name w:val="Heading 1 Char"/>
    <w:basedOn w:val="DefaultParagraphFont"/>
    <w:link w:val="Heading1"/>
    <w:rsid w:val="00AE1ED4"/>
    <w:rPr>
      <w:rFonts w:cs="Arial"/>
      <w:b/>
      <w:bCs/>
      <w:kern w:val="32"/>
      <w:sz w:val="24"/>
      <w:szCs w:val="32"/>
    </w:rPr>
  </w:style>
  <w:style w:type="character" w:customStyle="1" w:styleId="Heading2Char">
    <w:name w:val="Heading 2 Char"/>
    <w:basedOn w:val="DefaultParagraphFont"/>
    <w:link w:val="Heading2"/>
    <w:rsid w:val="008D07FB"/>
    <w:rPr>
      <w:rFonts w:cs="Arial"/>
      <w:b/>
      <w:bCs/>
      <w:i/>
      <w:iCs/>
      <w:sz w:val="24"/>
      <w:szCs w:val="28"/>
    </w:rPr>
  </w:style>
  <w:style w:type="character" w:customStyle="1" w:styleId="Heading3Char">
    <w:name w:val="Heading 3 Char"/>
    <w:basedOn w:val="DefaultParagraphFont"/>
    <w:link w:val="Heading3"/>
    <w:rsid w:val="00DF7EE2"/>
    <w:rPr>
      <w:rFonts w:eastAsia="Times New Roman" w:cs="Arial"/>
      <w:bCs/>
      <w:i/>
      <w:sz w:val="24"/>
      <w:szCs w:val="26"/>
      <w:lang w:eastAsia="en-GB"/>
    </w:rPr>
  </w:style>
  <w:style w:type="character" w:customStyle="1" w:styleId="Heading4Char">
    <w:name w:val="Heading 4 Char"/>
    <w:basedOn w:val="DefaultParagraphFont"/>
    <w:link w:val="Heading4"/>
    <w:rsid w:val="00F43B9D"/>
    <w:rPr>
      <w:bCs/>
      <w:sz w:val="24"/>
      <w:szCs w:val="28"/>
    </w:rPr>
  </w:style>
  <w:style w:type="paragraph" w:customStyle="1" w:styleId="ThesisTitle">
    <w:name w:val="Thesis Title"/>
    <w:basedOn w:val="Normal"/>
    <w:next w:val="Normal"/>
    <w:qFormat/>
    <w:rsid w:val="007D3B6E"/>
    <w:pPr>
      <w:spacing w:after="120" w:line="360" w:lineRule="auto"/>
      <w:jc w:val="center"/>
    </w:pPr>
    <w:rPr>
      <w:b/>
      <w:sz w:val="36"/>
    </w:rPr>
  </w:style>
  <w:style w:type="paragraph" w:customStyle="1" w:styleId="Authornames">
    <w:name w:val="Author names"/>
    <w:basedOn w:val="Normal"/>
    <w:next w:val="Normal"/>
    <w:qFormat/>
    <w:rsid w:val="007D3B6E"/>
    <w:pPr>
      <w:spacing w:before="240" w:line="240" w:lineRule="auto"/>
    </w:pPr>
    <w:rPr>
      <w:sz w:val="28"/>
    </w:rPr>
  </w:style>
  <w:style w:type="paragraph" w:customStyle="1" w:styleId="Affiliation">
    <w:name w:val="Affiliation"/>
    <w:basedOn w:val="Normal"/>
    <w:qFormat/>
    <w:rsid w:val="00F04900"/>
    <w:pPr>
      <w:spacing w:before="240" w:line="360" w:lineRule="auto"/>
    </w:pPr>
    <w:rPr>
      <w:i/>
    </w:rPr>
  </w:style>
  <w:style w:type="paragraph" w:customStyle="1" w:styleId="Receiveddates">
    <w:name w:val="Received dates"/>
    <w:basedOn w:val="Affiliation"/>
    <w:next w:val="Abstract"/>
    <w:qFormat/>
    <w:rsid w:val="00CC474B"/>
  </w:style>
  <w:style w:type="paragraph" w:customStyle="1" w:styleId="Abstract">
    <w:name w:val="Abstract"/>
    <w:basedOn w:val="Normal"/>
    <w:next w:val="Keywords"/>
    <w:qFormat/>
    <w:rsid w:val="000C6BED"/>
    <w:pPr>
      <w:spacing w:before="360" w:after="300" w:line="360" w:lineRule="auto"/>
      <w:ind w:right="567"/>
      <w:contextualSpacing/>
    </w:pPr>
    <w:rPr>
      <w:sz w:val="22"/>
    </w:rPr>
  </w:style>
  <w:style w:type="paragraph" w:customStyle="1" w:styleId="Keywords">
    <w:name w:val="Keywords"/>
    <w:basedOn w:val="Normal"/>
    <w:next w:val="Paragraph"/>
    <w:qFormat/>
    <w:rsid w:val="00BB1270"/>
    <w:pPr>
      <w:spacing w:before="240" w:after="240" w:line="360" w:lineRule="auto"/>
      <w:ind w:left="720" w:right="567"/>
    </w:pPr>
    <w:rPr>
      <w:sz w:val="22"/>
    </w:rPr>
  </w:style>
  <w:style w:type="paragraph" w:customStyle="1" w:styleId="Correspondencedetails">
    <w:name w:val="Correspondence details"/>
    <w:basedOn w:val="Normal"/>
    <w:qFormat/>
    <w:rsid w:val="00F04900"/>
    <w:pPr>
      <w:spacing w:before="240" w:line="360" w:lineRule="auto"/>
    </w:pPr>
  </w:style>
  <w:style w:type="paragraph" w:customStyle="1" w:styleId="Displayedquotation">
    <w:name w:val="Displayed quotation"/>
    <w:basedOn w:val="Normal"/>
    <w:qFormat/>
    <w:rsid w:val="00731835"/>
    <w:pPr>
      <w:tabs>
        <w:tab w:val="left" w:pos="1077"/>
        <w:tab w:val="left" w:pos="1440"/>
        <w:tab w:val="left" w:pos="1797"/>
        <w:tab w:val="left" w:pos="2155"/>
        <w:tab w:val="left" w:pos="2512"/>
      </w:tabs>
      <w:spacing w:before="240" w:after="360" w:line="360" w:lineRule="auto"/>
      <w:ind w:left="709" w:right="425"/>
      <w:contextualSpacing/>
    </w:pPr>
    <w:rPr>
      <w:sz w:val="22"/>
    </w:rPr>
  </w:style>
  <w:style w:type="paragraph" w:customStyle="1" w:styleId="Numberedlist">
    <w:name w:val="Numbered list"/>
    <w:basedOn w:val="Paragraph"/>
    <w:qFormat/>
    <w:rsid w:val="00D80284"/>
    <w:pPr>
      <w:widowControl/>
      <w:numPr>
        <w:numId w:val="24"/>
      </w:numPr>
      <w:spacing w:after="240"/>
      <w:contextualSpacing/>
    </w:pPr>
  </w:style>
  <w:style w:type="paragraph" w:customStyle="1" w:styleId="Displayedequation">
    <w:name w:val="Displayed equation"/>
    <w:basedOn w:val="Normal"/>
    <w:next w:val="Paragraph"/>
    <w:qFormat/>
    <w:rsid w:val="00EF0F45"/>
    <w:pPr>
      <w:tabs>
        <w:tab w:val="center" w:pos="4253"/>
        <w:tab w:val="right" w:pos="8222"/>
      </w:tabs>
      <w:spacing w:before="240" w:after="240"/>
      <w:jc w:val="center"/>
    </w:pPr>
  </w:style>
  <w:style w:type="paragraph" w:customStyle="1" w:styleId="Acknowledgements">
    <w:name w:val="Acknowledgements"/>
    <w:basedOn w:val="Normal"/>
    <w:next w:val="Normal"/>
    <w:qFormat/>
    <w:rsid w:val="00D379A3"/>
    <w:pPr>
      <w:spacing w:before="120" w:line="360" w:lineRule="auto"/>
    </w:pPr>
    <w:rPr>
      <w:sz w:val="22"/>
    </w:rPr>
  </w:style>
  <w:style w:type="paragraph" w:customStyle="1" w:styleId="Tabletitle">
    <w:name w:val="Table title"/>
    <w:basedOn w:val="Normal"/>
    <w:next w:val="Normal"/>
    <w:qFormat/>
    <w:rsid w:val="0031686C"/>
    <w:pPr>
      <w:spacing w:before="240" w:line="360" w:lineRule="auto"/>
    </w:pPr>
  </w:style>
  <w:style w:type="paragraph" w:customStyle="1" w:styleId="Figurecaption">
    <w:name w:val="Figure caption"/>
    <w:basedOn w:val="Normal"/>
    <w:next w:val="Normal"/>
    <w:qFormat/>
    <w:rsid w:val="0031686C"/>
    <w:pPr>
      <w:spacing w:before="240" w:line="360" w:lineRule="auto"/>
    </w:pPr>
  </w:style>
  <w:style w:type="paragraph" w:customStyle="1" w:styleId="Footnotes">
    <w:name w:val="Footnotes"/>
    <w:basedOn w:val="Normal"/>
    <w:qFormat/>
    <w:rsid w:val="006C6936"/>
    <w:pPr>
      <w:spacing w:before="120" w:line="360" w:lineRule="auto"/>
      <w:ind w:left="482" w:hanging="482"/>
      <w:contextualSpacing/>
    </w:pPr>
    <w:rPr>
      <w:sz w:val="22"/>
    </w:rPr>
  </w:style>
  <w:style w:type="paragraph" w:customStyle="1" w:styleId="Notesoncontributors">
    <w:name w:val="Notes on contributors"/>
    <w:basedOn w:val="Normal"/>
    <w:qFormat/>
    <w:rsid w:val="00F04900"/>
    <w:pPr>
      <w:spacing w:before="240" w:line="360" w:lineRule="auto"/>
    </w:pPr>
    <w:rPr>
      <w:sz w:val="22"/>
    </w:rPr>
  </w:style>
  <w:style w:type="paragraph" w:customStyle="1" w:styleId="Normalparagraphstyle">
    <w:name w:val="Normal paragraph style"/>
    <w:basedOn w:val="Normal"/>
    <w:next w:val="Normal"/>
    <w:rsid w:val="00562DEF"/>
  </w:style>
  <w:style w:type="paragraph" w:styleId="NormalIndent">
    <w:name w:val="Normal Indent"/>
    <w:basedOn w:val="Normal"/>
    <w:rsid w:val="00526454"/>
    <w:pPr>
      <w:ind w:left="720"/>
    </w:pPr>
  </w:style>
  <w:style w:type="paragraph" w:customStyle="1" w:styleId="References">
    <w:name w:val="References"/>
    <w:basedOn w:val="Normal"/>
    <w:qFormat/>
    <w:rsid w:val="002C53EE"/>
    <w:pPr>
      <w:spacing w:before="120" w:line="360" w:lineRule="auto"/>
      <w:ind w:left="720" w:hanging="720"/>
      <w:contextualSpacing/>
    </w:pPr>
  </w:style>
  <w:style w:type="paragraph" w:customStyle="1" w:styleId="Subjectcodes">
    <w:name w:val="Subject codes"/>
    <w:basedOn w:val="Keywords"/>
    <w:next w:val="Paragraph"/>
    <w:qFormat/>
    <w:rsid w:val="00DF5B84"/>
  </w:style>
  <w:style w:type="paragraph" w:customStyle="1" w:styleId="Bulletedlist">
    <w:name w:val="Bulleted list"/>
    <w:basedOn w:val="Paragraph"/>
    <w:qFormat/>
    <w:rsid w:val="004E0338"/>
    <w:pPr>
      <w:widowControl/>
      <w:numPr>
        <w:numId w:val="28"/>
      </w:numPr>
      <w:spacing w:after="240"/>
      <w:contextualSpacing/>
    </w:pPr>
  </w:style>
  <w:style w:type="paragraph" w:styleId="FootnoteText">
    <w:name w:val="footnote text"/>
    <w:basedOn w:val="Normal"/>
    <w:link w:val="FootnoteTextChar"/>
    <w:autoRedefine/>
    <w:rsid w:val="006C19B2"/>
    <w:pPr>
      <w:ind w:left="284" w:hanging="284"/>
    </w:pPr>
    <w:rPr>
      <w:sz w:val="22"/>
      <w:szCs w:val="20"/>
    </w:rPr>
  </w:style>
  <w:style w:type="character" w:customStyle="1" w:styleId="FootnoteTextChar">
    <w:name w:val="Footnote Text Char"/>
    <w:basedOn w:val="DefaultParagraphFont"/>
    <w:link w:val="FootnoteText"/>
    <w:rsid w:val="006C19B2"/>
    <w:rPr>
      <w:sz w:val="22"/>
    </w:rPr>
  </w:style>
  <w:style w:type="character" w:styleId="FootnoteReference">
    <w:name w:val="footnote reference"/>
    <w:basedOn w:val="DefaultParagraphFont"/>
    <w:rsid w:val="00AF2C92"/>
    <w:rPr>
      <w:vertAlign w:val="superscript"/>
    </w:rPr>
  </w:style>
  <w:style w:type="paragraph" w:styleId="EndnoteText">
    <w:name w:val="endnote text"/>
    <w:basedOn w:val="Normal"/>
    <w:link w:val="EndnoteTextChar"/>
    <w:autoRedefine/>
    <w:rsid w:val="006C19B2"/>
    <w:pPr>
      <w:ind w:left="284" w:hanging="284"/>
    </w:pPr>
    <w:rPr>
      <w:sz w:val="22"/>
      <w:szCs w:val="20"/>
    </w:rPr>
  </w:style>
  <w:style w:type="character" w:customStyle="1" w:styleId="EndnoteTextChar">
    <w:name w:val="Endnote Text Char"/>
    <w:basedOn w:val="DefaultParagraphFont"/>
    <w:link w:val="EndnoteText"/>
    <w:rsid w:val="006C19B2"/>
    <w:rPr>
      <w:sz w:val="22"/>
    </w:rPr>
  </w:style>
  <w:style w:type="character" w:styleId="EndnoteReference">
    <w:name w:val="endnote reference"/>
    <w:basedOn w:val="DefaultParagraphFont"/>
    <w:rsid w:val="00EC571B"/>
    <w:rPr>
      <w:vertAlign w:val="superscript"/>
    </w:rPr>
  </w:style>
  <w:style w:type="paragraph" w:styleId="Header">
    <w:name w:val="header"/>
    <w:basedOn w:val="Normal"/>
    <w:link w:val="HeaderChar"/>
    <w:rsid w:val="00F02F94"/>
    <w:pPr>
      <w:tabs>
        <w:tab w:val="center" w:pos="4320"/>
        <w:tab w:val="right" w:pos="8640"/>
      </w:tabs>
      <w:spacing w:line="240" w:lineRule="auto"/>
    </w:pPr>
  </w:style>
  <w:style w:type="character" w:customStyle="1" w:styleId="HeaderChar">
    <w:name w:val="Header Char"/>
    <w:basedOn w:val="DefaultParagraphFont"/>
    <w:link w:val="Header"/>
    <w:rsid w:val="00F02F94"/>
    <w:rPr>
      <w:sz w:val="24"/>
      <w:szCs w:val="24"/>
    </w:rPr>
  </w:style>
  <w:style w:type="paragraph" w:styleId="Footer">
    <w:name w:val="footer"/>
    <w:basedOn w:val="Normal"/>
    <w:link w:val="FooterChar"/>
    <w:rsid w:val="00F02F94"/>
    <w:pPr>
      <w:tabs>
        <w:tab w:val="center" w:pos="4320"/>
        <w:tab w:val="right" w:pos="8640"/>
      </w:tabs>
      <w:spacing w:line="240" w:lineRule="auto"/>
    </w:pPr>
  </w:style>
  <w:style w:type="character" w:customStyle="1" w:styleId="FooterChar">
    <w:name w:val="Footer Char"/>
    <w:basedOn w:val="DefaultParagraphFont"/>
    <w:link w:val="Footer"/>
    <w:rsid w:val="00F02F94"/>
    <w:rPr>
      <w:sz w:val="24"/>
      <w:szCs w:val="24"/>
    </w:rPr>
  </w:style>
  <w:style w:type="paragraph" w:customStyle="1" w:styleId="Heading4Paragraph">
    <w:name w:val="Heading 4 + Paragraph"/>
    <w:basedOn w:val="Paragraph"/>
    <w:next w:val="Newparagraph"/>
    <w:qFormat/>
    <w:rsid w:val="00AE1ED4"/>
    <w:pPr>
      <w:widowControl/>
      <w:spacing w:before="360"/>
    </w:pPr>
  </w:style>
  <w:style w:type="paragraph" w:customStyle="1" w:styleId="Year">
    <w:name w:val="Year"/>
    <w:basedOn w:val="BodyText"/>
    <w:next w:val="Abstract"/>
    <w:qFormat/>
    <w:rsid w:val="007D3B6E"/>
    <w:pPr>
      <w:spacing w:line="240" w:lineRule="auto"/>
      <w:jc w:val="center"/>
    </w:pPr>
    <w:rPr>
      <w:b/>
      <w:sz w:val="32"/>
    </w:rPr>
  </w:style>
  <w:style w:type="paragraph" w:styleId="BodyText">
    <w:name w:val="Body Text"/>
    <w:basedOn w:val="Normal"/>
    <w:link w:val="BodyTextChar"/>
    <w:rsid w:val="007D3B6E"/>
    <w:pPr>
      <w:spacing w:after="120"/>
    </w:pPr>
  </w:style>
  <w:style w:type="character" w:customStyle="1" w:styleId="BodyTextChar">
    <w:name w:val="Body Text Char"/>
    <w:basedOn w:val="DefaultParagraphFont"/>
    <w:link w:val="BodyText"/>
    <w:rsid w:val="007D3B6E"/>
    <w:rPr>
      <w:sz w:val="24"/>
      <w:szCs w:val="24"/>
    </w:rPr>
  </w:style>
  <w:style w:type="paragraph" w:customStyle="1" w:styleId="Supervisorname">
    <w:name w:val="Supervisor name"/>
    <w:basedOn w:val="Authornames"/>
    <w:qFormat/>
    <w:rsid w:val="007D3B6E"/>
  </w:style>
  <w:style w:type="paragraph" w:styleId="TOC1">
    <w:name w:val="toc 1"/>
    <w:basedOn w:val="Normal"/>
    <w:next w:val="Normal"/>
    <w:autoRedefine/>
    <w:uiPriority w:val="39"/>
    <w:rsid w:val="002E28DD"/>
    <w:pPr>
      <w:spacing w:before="120"/>
    </w:pPr>
    <w:rPr>
      <w:rFonts w:asciiTheme="minorHAnsi" w:hAnsiTheme="minorHAnsi"/>
      <w:b/>
    </w:rPr>
  </w:style>
  <w:style w:type="paragraph" w:styleId="TOC2">
    <w:name w:val="toc 2"/>
    <w:basedOn w:val="Normal"/>
    <w:next w:val="Normal"/>
    <w:autoRedefine/>
    <w:uiPriority w:val="39"/>
    <w:rsid w:val="002E28DD"/>
    <w:pPr>
      <w:ind w:left="240"/>
    </w:pPr>
    <w:rPr>
      <w:rFonts w:asciiTheme="minorHAnsi" w:hAnsiTheme="minorHAnsi"/>
      <w:b/>
      <w:sz w:val="22"/>
      <w:szCs w:val="22"/>
    </w:rPr>
  </w:style>
  <w:style w:type="paragraph" w:styleId="TOC3">
    <w:name w:val="toc 3"/>
    <w:basedOn w:val="Normal"/>
    <w:next w:val="Normal"/>
    <w:autoRedefine/>
    <w:uiPriority w:val="39"/>
    <w:rsid w:val="002E28DD"/>
    <w:pPr>
      <w:ind w:left="480"/>
    </w:pPr>
    <w:rPr>
      <w:rFonts w:asciiTheme="minorHAnsi" w:hAnsiTheme="minorHAnsi"/>
      <w:sz w:val="22"/>
      <w:szCs w:val="22"/>
    </w:rPr>
  </w:style>
  <w:style w:type="paragraph" w:styleId="TOC4">
    <w:name w:val="toc 4"/>
    <w:basedOn w:val="Normal"/>
    <w:next w:val="Normal"/>
    <w:autoRedefine/>
    <w:rsid w:val="002E28DD"/>
    <w:pPr>
      <w:ind w:left="720"/>
    </w:pPr>
    <w:rPr>
      <w:rFonts w:asciiTheme="minorHAnsi" w:hAnsiTheme="minorHAnsi"/>
      <w:sz w:val="20"/>
      <w:szCs w:val="20"/>
    </w:rPr>
  </w:style>
  <w:style w:type="paragraph" w:styleId="TOC5">
    <w:name w:val="toc 5"/>
    <w:basedOn w:val="Normal"/>
    <w:next w:val="Normal"/>
    <w:autoRedefine/>
    <w:rsid w:val="002E28DD"/>
    <w:pPr>
      <w:ind w:left="960"/>
    </w:pPr>
    <w:rPr>
      <w:rFonts w:asciiTheme="minorHAnsi" w:hAnsiTheme="minorHAnsi"/>
      <w:sz w:val="20"/>
      <w:szCs w:val="20"/>
    </w:rPr>
  </w:style>
  <w:style w:type="paragraph" w:styleId="TOC6">
    <w:name w:val="toc 6"/>
    <w:basedOn w:val="Normal"/>
    <w:next w:val="Normal"/>
    <w:autoRedefine/>
    <w:rsid w:val="002E28DD"/>
    <w:pPr>
      <w:ind w:left="1200"/>
    </w:pPr>
    <w:rPr>
      <w:rFonts w:asciiTheme="minorHAnsi" w:hAnsiTheme="minorHAnsi"/>
      <w:sz w:val="20"/>
      <w:szCs w:val="20"/>
    </w:rPr>
  </w:style>
  <w:style w:type="paragraph" w:styleId="TOC7">
    <w:name w:val="toc 7"/>
    <w:basedOn w:val="Normal"/>
    <w:next w:val="Normal"/>
    <w:autoRedefine/>
    <w:rsid w:val="002E28DD"/>
    <w:pPr>
      <w:ind w:left="1440"/>
    </w:pPr>
    <w:rPr>
      <w:rFonts w:asciiTheme="minorHAnsi" w:hAnsiTheme="minorHAnsi"/>
      <w:sz w:val="20"/>
      <w:szCs w:val="20"/>
    </w:rPr>
  </w:style>
  <w:style w:type="paragraph" w:styleId="TOC8">
    <w:name w:val="toc 8"/>
    <w:basedOn w:val="Normal"/>
    <w:next w:val="Normal"/>
    <w:autoRedefine/>
    <w:rsid w:val="002E28DD"/>
    <w:pPr>
      <w:ind w:left="1680"/>
    </w:pPr>
    <w:rPr>
      <w:rFonts w:asciiTheme="minorHAnsi" w:hAnsiTheme="minorHAnsi"/>
      <w:sz w:val="20"/>
      <w:szCs w:val="20"/>
    </w:rPr>
  </w:style>
  <w:style w:type="paragraph" w:styleId="TOC9">
    <w:name w:val="toc 9"/>
    <w:basedOn w:val="Normal"/>
    <w:next w:val="Normal"/>
    <w:autoRedefine/>
    <w:rsid w:val="002E28DD"/>
    <w:pPr>
      <w:ind w:left="1920"/>
    </w:pPr>
    <w:rPr>
      <w:rFonts w:asciiTheme="minorHAnsi" w:hAnsiTheme="minorHAnsi"/>
      <w:sz w:val="20"/>
      <w:szCs w:val="20"/>
    </w:rPr>
  </w:style>
  <w:style w:type="character" w:styleId="PageNumber">
    <w:name w:val="page number"/>
    <w:basedOn w:val="DefaultParagraphFont"/>
    <w:rsid w:val="00FE038B"/>
  </w:style>
  <w:style w:type="character" w:styleId="Hyperlink">
    <w:name w:val="Hyperlink"/>
    <w:basedOn w:val="DefaultParagraphFont"/>
    <w:uiPriority w:val="99"/>
    <w:rsid w:val="003C0F16"/>
    <w:rPr>
      <w:color w:val="0000FF" w:themeColor="hyperlink"/>
      <w:u w:val="single"/>
    </w:rPr>
  </w:style>
  <w:style w:type="paragraph" w:styleId="BalloonText">
    <w:name w:val="Balloon Text"/>
    <w:basedOn w:val="Normal"/>
    <w:link w:val="BalloonTextChar"/>
    <w:rsid w:val="00223E66"/>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rsid w:val="00223E66"/>
    <w:rPr>
      <w:rFonts w:ascii="Lucida Grande" w:hAnsi="Lucida Grande" w:cs="Lucida Grande"/>
      <w:sz w:val="18"/>
      <w:szCs w:val="18"/>
    </w:rPr>
  </w:style>
  <w:style w:type="paragraph" w:styleId="BodyTextIndent">
    <w:name w:val="Body Text Indent"/>
    <w:basedOn w:val="Normal"/>
    <w:link w:val="BodyTextIndentChar"/>
    <w:rsid w:val="00A142AA"/>
    <w:pPr>
      <w:spacing w:after="120"/>
      <w:ind w:left="283"/>
    </w:pPr>
  </w:style>
  <w:style w:type="character" w:customStyle="1" w:styleId="BodyTextIndentChar">
    <w:name w:val="Body Text Indent Char"/>
    <w:basedOn w:val="DefaultParagraphFont"/>
    <w:link w:val="BodyTextIndent"/>
    <w:rsid w:val="00A142AA"/>
    <w:rPr>
      <w:sz w:val="24"/>
      <w:szCs w:val="24"/>
    </w:rPr>
  </w:style>
  <w:style w:type="paragraph" w:styleId="ListParagraph">
    <w:name w:val="List Paragraph"/>
    <w:basedOn w:val="Normal"/>
    <w:rsid w:val="00EC2631"/>
    <w:pPr>
      <w:ind w:left="720"/>
      <w:contextualSpacing/>
    </w:pPr>
  </w:style>
  <w:style w:type="character" w:styleId="CommentReference">
    <w:name w:val="annotation reference"/>
    <w:basedOn w:val="DefaultParagraphFont"/>
    <w:uiPriority w:val="99"/>
    <w:semiHidden/>
    <w:unhideWhenUsed/>
    <w:rsid w:val="00AE01EB"/>
    <w:rPr>
      <w:sz w:val="16"/>
      <w:szCs w:val="16"/>
    </w:rPr>
  </w:style>
  <w:style w:type="paragraph" w:styleId="CommentText">
    <w:name w:val="annotation text"/>
    <w:basedOn w:val="Normal"/>
    <w:link w:val="CommentTextChar"/>
    <w:uiPriority w:val="99"/>
    <w:unhideWhenUsed/>
    <w:rsid w:val="00AE01EB"/>
    <w:pPr>
      <w:spacing w:line="240" w:lineRule="auto"/>
    </w:pPr>
    <w:rPr>
      <w:sz w:val="20"/>
      <w:szCs w:val="20"/>
    </w:rPr>
  </w:style>
  <w:style w:type="character" w:customStyle="1" w:styleId="CommentTextChar">
    <w:name w:val="Comment Text Char"/>
    <w:basedOn w:val="DefaultParagraphFont"/>
    <w:link w:val="CommentText"/>
    <w:uiPriority w:val="99"/>
    <w:rsid w:val="00AE01EB"/>
  </w:style>
  <w:style w:type="paragraph" w:styleId="CommentSubject">
    <w:name w:val="annotation subject"/>
    <w:basedOn w:val="CommentText"/>
    <w:next w:val="CommentText"/>
    <w:link w:val="CommentSubjectChar"/>
    <w:semiHidden/>
    <w:unhideWhenUsed/>
    <w:rsid w:val="00AE01EB"/>
    <w:rPr>
      <w:b/>
      <w:bCs/>
    </w:rPr>
  </w:style>
  <w:style w:type="character" w:customStyle="1" w:styleId="CommentSubjectChar">
    <w:name w:val="Comment Subject Char"/>
    <w:basedOn w:val="CommentTextChar"/>
    <w:link w:val="CommentSubject"/>
    <w:semiHidden/>
    <w:rsid w:val="00AE01EB"/>
    <w:rPr>
      <w:b/>
      <w:bCs/>
    </w:rPr>
  </w:style>
  <w:style w:type="character" w:styleId="UnresolvedMention">
    <w:name w:val="Unresolved Mention"/>
    <w:basedOn w:val="DefaultParagraphFont"/>
    <w:uiPriority w:val="99"/>
    <w:semiHidden/>
    <w:unhideWhenUsed/>
    <w:rsid w:val="009F0383"/>
    <w:rPr>
      <w:color w:val="605E5C"/>
      <w:shd w:val="clear" w:color="auto" w:fill="E1DFDD"/>
    </w:rPr>
  </w:style>
  <w:style w:type="paragraph" w:styleId="TOCHeading">
    <w:name w:val="TOC Heading"/>
    <w:basedOn w:val="Heading1"/>
    <w:next w:val="Normal"/>
    <w:uiPriority w:val="39"/>
    <w:unhideWhenUsed/>
    <w:qFormat/>
    <w:rsid w:val="007F3E04"/>
    <w:pPr>
      <w:keepLines/>
      <w:spacing w:before="240" w:after="0" w:line="259" w:lineRule="auto"/>
      <w:ind w:right="0"/>
      <w:contextualSpacing w:val="0"/>
      <w:outlineLvl w:val="9"/>
    </w:pPr>
    <w:rPr>
      <w:rFonts w:asciiTheme="majorHAnsi" w:eastAsiaTheme="majorEastAsia" w:hAnsiTheme="majorHAnsi" w:cstheme="majorBidi"/>
      <w:b w:val="0"/>
      <w:bCs w:val="0"/>
      <w:color w:val="365F91" w:themeColor="accent1" w:themeShade="BF"/>
      <w:kern w:val="0"/>
      <w:sz w:val="3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290409">
      <w:bodyDiv w:val="1"/>
      <w:marLeft w:val="0"/>
      <w:marRight w:val="0"/>
      <w:marTop w:val="0"/>
      <w:marBottom w:val="0"/>
      <w:divBdr>
        <w:top w:val="none" w:sz="0" w:space="0" w:color="auto"/>
        <w:left w:val="none" w:sz="0" w:space="0" w:color="auto"/>
        <w:bottom w:val="none" w:sz="0" w:space="0" w:color="auto"/>
        <w:right w:val="none" w:sz="0" w:space="0" w:color="auto"/>
      </w:divBdr>
    </w:div>
    <w:div w:id="236942385">
      <w:bodyDiv w:val="1"/>
      <w:marLeft w:val="0"/>
      <w:marRight w:val="0"/>
      <w:marTop w:val="0"/>
      <w:marBottom w:val="0"/>
      <w:divBdr>
        <w:top w:val="none" w:sz="0" w:space="0" w:color="auto"/>
        <w:left w:val="none" w:sz="0" w:space="0" w:color="auto"/>
        <w:bottom w:val="none" w:sz="0" w:space="0" w:color="auto"/>
        <w:right w:val="none" w:sz="0" w:space="0" w:color="auto"/>
      </w:divBdr>
    </w:div>
    <w:div w:id="252712912">
      <w:bodyDiv w:val="1"/>
      <w:marLeft w:val="0"/>
      <w:marRight w:val="0"/>
      <w:marTop w:val="0"/>
      <w:marBottom w:val="0"/>
      <w:divBdr>
        <w:top w:val="none" w:sz="0" w:space="0" w:color="auto"/>
        <w:left w:val="none" w:sz="0" w:space="0" w:color="auto"/>
        <w:bottom w:val="none" w:sz="0" w:space="0" w:color="auto"/>
        <w:right w:val="none" w:sz="0" w:space="0" w:color="auto"/>
      </w:divBdr>
    </w:div>
    <w:div w:id="620039308">
      <w:bodyDiv w:val="1"/>
      <w:marLeft w:val="0"/>
      <w:marRight w:val="0"/>
      <w:marTop w:val="0"/>
      <w:marBottom w:val="0"/>
      <w:divBdr>
        <w:top w:val="none" w:sz="0" w:space="0" w:color="auto"/>
        <w:left w:val="none" w:sz="0" w:space="0" w:color="auto"/>
        <w:bottom w:val="none" w:sz="0" w:space="0" w:color="auto"/>
        <w:right w:val="none" w:sz="0" w:space="0" w:color="auto"/>
      </w:divBdr>
    </w:div>
    <w:div w:id="909926053">
      <w:bodyDiv w:val="1"/>
      <w:marLeft w:val="0"/>
      <w:marRight w:val="0"/>
      <w:marTop w:val="0"/>
      <w:marBottom w:val="0"/>
      <w:divBdr>
        <w:top w:val="none" w:sz="0" w:space="0" w:color="auto"/>
        <w:left w:val="none" w:sz="0" w:space="0" w:color="auto"/>
        <w:bottom w:val="none" w:sz="0" w:space="0" w:color="auto"/>
        <w:right w:val="none" w:sz="0" w:space="0" w:color="auto"/>
      </w:divBdr>
    </w:div>
    <w:div w:id="17946378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s://www.rte.ie/documents/news/mario-draghi-conference.pdf" TargetMode="External"/><Relationship Id="rId39" Type="http://schemas.openxmlformats.org/officeDocument/2006/relationships/hyperlink" Target="https://link.springer.com/article/10.1007/s00181-020-01981-6" TargetMode="External"/><Relationship Id="rId21" Type="http://schemas.openxmlformats.org/officeDocument/2006/relationships/image" Target="media/image14.png"/><Relationship Id="rId34" Type="http://schemas.openxmlformats.org/officeDocument/2006/relationships/hyperlink" Target="https://www.ecb.europa.eu/press/key/date/2020/html/ecb.sp200221~d147a71a37.en.html" TargetMode="External"/><Relationship Id="rId42" Type="http://schemas.openxmlformats.org/officeDocument/2006/relationships/image" Target="media/image17.png"/><Relationship Id="rId47" Type="http://schemas.openxmlformats.org/officeDocument/2006/relationships/footer" Target="footer2.xml"/><Relationship Id="rId50" Type="http://schemas.openxmlformats.org/officeDocument/2006/relationships/customXml" Target="../customXml/item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https://voxeu.org/article/forward-guidance-paradox" TargetMode="External"/><Relationship Id="rId11" Type="http://schemas.openxmlformats.org/officeDocument/2006/relationships/image" Target="media/image4.png"/><Relationship Id="rId24" Type="http://schemas.openxmlformats.org/officeDocument/2006/relationships/hyperlink" Target="https://www.sciencedirect.com/science/article/pii/S0165176519303817?casa_token=OLDKfALCnMsAAAAA:jdAly4MmJ7ytabDedvUpi7qU7Jj41Jfc1174AVaM0aYoUIPpcdhrkJo8tuQVEAtw6TQt8Xx2ZcU" TargetMode="External"/><Relationship Id="rId32" Type="http://schemas.openxmlformats.org/officeDocument/2006/relationships/hyperlink" Target="https://papers.ssrn.com/sol3/papers.cfm?abstract_id=3025245" TargetMode="External"/><Relationship Id="rId37" Type="http://schemas.openxmlformats.org/officeDocument/2006/relationships/hyperlink" Target="https://papers.ssrn.com/sol3/papers.cfm?abstract_id=3772498" TargetMode="External"/><Relationship Id="rId40" Type="http://schemas.openxmlformats.org/officeDocument/2006/relationships/image" Target="media/image15.png"/><Relationship Id="rId45" Type="http://schemas.openxmlformats.org/officeDocument/2006/relationships/image" Target="media/image20.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www.mnb.hu/letoltes/mnb-op-140-final-1.pdf" TargetMode="External"/><Relationship Id="rId28" Type="http://schemas.openxmlformats.org/officeDocument/2006/relationships/hyperlink" Target="https://papers.ssrn.com/sol3/papers.cfm?abstract_id=2985385" TargetMode="External"/><Relationship Id="rId36" Type="http://schemas.openxmlformats.org/officeDocument/2006/relationships/hyperlink" Target="https://voxeu.org/system/files/epublication/forward_guidance.pdf" TargetMode="External"/><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yperlink" Target="https://www.ecb.europa.eu/press/key/date/2000/html/sp000912_2.en.html" TargetMode="External"/><Relationship Id="rId44" Type="http://schemas.openxmlformats.org/officeDocument/2006/relationships/image" Target="media/image19.png"/><Relationship Id="rId52" Type="http://schemas.openxmlformats.org/officeDocument/2006/relationships/customXml" Target="../customXml/item4.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voxeu.org/article/euro-area-monetary-policy-event-study-database" TargetMode="External"/><Relationship Id="rId27" Type="http://schemas.openxmlformats.org/officeDocument/2006/relationships/hyperlink" Target="https://www.bancaditalia.it/pubblicazioni/temi-discussione/2019/2019-1231/en_tema_1231.pdf" TargetMode="External"/><Relationship Id="rId30" Type="http://schemas.openxmlformats.org/officeDocument/2006/relationships/hyperlink" Target="https://www.ijcb.org/journal/ijcb18q4a5.html" TargetMode="External"/><Relationship Id="rId35" Type="http://schemas.openxmlformats.org/officeDocument/2006/relationships/hyperlink" Target="https://www.sciencedirect.com/science/article/pii/S0261560617300037?casa_token=Fr-BWwhmwh4AAAAA:NkSY_OUp7paH1uHZ3aESwvDZ--aJSYF_kIGJ9L0a6dT2HBVsb2DF9hTiDANDpoKE8FwtA2_D8xo" TargetMode="External"/><Relationship Id="rId43" Type="http://schemas.openxmlformats.org/officeDocument/2006/relationships/image" Target="media/image18.png"/><Relationship Id="rId48" Type="http://schemas.openxmlformats.org/officeDocument/2006/relationships/fontTable" Target="fontTable.xml"/><Relationship Id="rId8" Type="http://schemas.openxmlformats.org/officeDocument/2006/relationships/image" Target="media/image1.emf"/><Relationship Id="rId51" Type="http://schemas.openxmlformats.org/officeDocument/2006/relationships/customXml" Target="../customXml/item3.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papers.ssrn.com/sol3/papers.cfm?abstract_id=2334518" TargetMode="External"/><Relationship Id="rId33" Type="http://schemas.openxmlformats.org/officeDocument/2006/relationships/hyperlink" Target="https://www.sciencedirect.com/science/article/pii/S1062940818304856?casa_token=Y7t1KYyyzS4AAAAA:r-q0y7EREEewE4nQPho0_9u0lMxAbk_rDNoztYdYqDpGg1OutyVrR8BntDDIrVknx6jIY-XdYEg" TargetMode="External"/><Relationship Id="rId38" Type="http://schemas.openxmlformats.org/officeDocument/2006/relationships/hyperlink" Target="https://www.econjournals.com/index.php/ijeep/article/view/7223" TargetMode="External"/><Relationship Id="rId46"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kuments" ma:contentTypeID="0x010100281F5FAAC88176488A421EA484F6A7F2" ma:contentTypeVersion="6" ma:contentTypeDescription="Izveidot jaunu dokumentu." ma:contentTypeScope="" ma:versionID="84961acce479f9dbf2a7e65c73365518">
  <xsd:schema xmlns:xsd="http://www.w3.org/2001/XMLSchema" xmlns:xs="http://www.w3.org/2001/XMLSchema" xmlns:p="http://schemas.microsoft.com/office/2006/metadata/properties" xmlns:ns2="e1a6c22d-66e3-4c2e-be0c-741596b1eed7" xmlns:ns3="244dba87-275a-41d1-bc2a-370e4a9c8dc3" targetNamespace="http://schemas.microsoft.com/office/2006/metadata/properties" ma:root="true" ma:fieldsID="4b8006472cbbacc0ee2ba0a3a01494d9" ns2:_="" ns3:_="">
    <xsd:import namespace="e1a6c22d-66e3-4c2e-be0c-741596b1eed7"/>
    <xsd:import namespace="244dba87-275a-41d1-bc2a-370e4a9c8dc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1a6c22d-66e3-4c2e-be0c-741596b1eed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44dba87-275a-41d1-bc2a-370e4a9c8dc3" elementFormDefault="qualified">
    <xsd:import namespace="http://schemas.microsoft.com/office/2006/documentManagement/types"/>
    <xsd:import namespace="http://schemas.microsoft.com/office/infopath/2007/PartnerControls"/>
    <xsd:element name="SharedWithUsers" ma:index="12" nillable="true" ma:displayName="Koplietots 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Koplietots ar: detalizēt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48201029-3274-7D4B-9D71-084FEE852C24}">
  <ds:schemaRefs>
    <ds:schemaRef ds:uri="http://schemas.openxmlformats.org/officeDocument/2006/bibliography"/>
  </ds:schemaRefs>
</ds:datastoreItem>
</file>

<file path=customXml/itemProps2.xml><?xml version="1.0" encoding="utf-8"?>
<ds:datastoreItem xmlns:ds="http://schemas.openxmlformats.org/officeDocument/2006/customXml" ds:itemID="{CA6253B7-FB3E-400B-9685-B77026A66B53}"/>
</file>

<file path=customXml/itemProps3.xml><?xml version="1.0" encoding="utf-8"?>
<ds:datastoreItem xmlns:ds="http://schemas.openxmlformats.org/officeDocument/2006/customXml" ds:itemID="{417C4ACA-A413-4703-8C3E-EEE8E037A360}"/>
</file>

<file path=customXml/itemProps4.xml><?xml version="1.0" encoding="utf-8"?>
<ds:datastoreItem xmlns:ds="http://schemas.openxmlformats.org/officeDocument/2006/customXml" ds:itemID="{B0D6D509-92C4-4A79-AB4E-7B4A72861D2D}"/>
</file>

<file path=docProps/app.xml><?xml version="1.0" encoding="utf-8"?>
<Properties xmlns="http://schemas.openxmlformats.org/officeDocument/2006/extended-properties" xmlns:vt="http://schemas.openxmlformats.org/officeDocument/2006/docPropsVTypes">
  <Template>Normal.dotm</Template>
  <TotalTime>39</TotalTime>
  <Pages>46</Pages>
  <Words>13041</Words>
  <Characters>74340</Characters>
  <Application>Microsoft Office Word</Application>
  <DocSecurity>0</DocSecurity>
  <Lines>619</Lines>
  <Paragraphs>174</Paragraphs>
  <ScaleCrop>false</ScaleCrop>
  <HeadingPairs>
    <vt:vector size="2" baseType="variant">
      <vt:variant>
        <vt:lpstr>Title</vt:lpstr>
      </vt:variant>
      <vt:variant>
        <vt:i4>1</vt:i4>
      </vt:variant>
    </vt:vector>
  </HeadingPairs>
  <TitlesOfParts>
    <vt:vector size="1" baseType="lpstr">
      <vt:lpstr>TF_Template_Word_Mac_2008</vt:lpstr>
    </vt:vector>
  </TitlesOfParts>
  <Company>SSERIGA</Company>
  <LinksUpToDate>false</LinksUpToDate>
  <CharactersWithSpaces>87207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TF_Template_Word_Mac_2008</dc:title>
  <dc:creator>Zane Cunska</dc:creator>
  <cp:lastModifiedBy>Ilona Chaiko</cp:lastModifiedBy>
  <cp:revision>4</cp:revision>
  <cp:lastPrinted>2014-08-19T09:56:00Z</cp:lastPrinted>
  <dcterms:created xsi:type="dcterms:W3CDTF">2022-04-03T20:32:00Z</dcterms:created>
  <dcterms:modified xsi:type="dcterms:W3CDTF">2022-05-22T09:38:00Z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0x010100281F5FAAC88176488A421EA484F6A7F2</vt:lpwstr>
  </property>
</Properties>
</file>